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DC8F4C" w14:textId="77777777" w:rsidR="006F6BCF" w:rsidRDefault="006F6BCF">
      <w:bookmarkStart w:id="0" w:name="_Toc526153326"/>
      <w:bookmarkStart w:id="1" w:name="_Toc526153325"/>
      <w:bookmarkStart w:id="2" w:name="_Toc526153320"/>
      <w:bookmarkStart w:id="3" w:name="_Toc526153318"/>
      <w:bookmarkStart w:id="4" w:name="_Toc526153340"/>
      <w:bookmarkStart w:id="5" w:name="_Toc526153388"/>
      <w:bookmarkEnd w:id="0"/>
      <w:bookmarkEnd w:id="1"/>
      <w:bookmarkEnd w:id="2"/>
    </w:p>
    <w:tbl>
      <w:tblPr>
        <w:tblW w:w="9784" w:type="dxa"/>
        <w:tblCellMar>
          <w:left w:w="10" w:type="dxa"/>
          <w:right w:w="10" w:type="dxa"/>
        </w:tblCellMar>
        <w:tblLook w:val="04A0" w:firstRow="1" w:lastRow="0" w:firstColumn="1" w:lastColumn="0" w:noHBand="0" w:noVBand="1"/>
      </w:tblPr>
      <w:tblGrid>
        <w:gridCol w:w="3209"/>
        <w:gridCol w:w="3209"/>
        <w:gridCol w:w="3366"/>
      </w:tblGrid>
      <w:tr w:rsidR="005C370E" w14:paraId="1A5C7E60" w14:textId="77777777" w:rsidTr="00A34006">
        <w:trPr>
          <w:trHeight w:val="1410"/>
        </w:trPr>
        <w:tc>
          <w:tcPr>
            <w:tcW w:w="32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11A200" w14:textId="77777777" w:rsidR="005C370E" w:rsidRDefault="005C370E" w:rsidP="00A34006">
            <w:pPr>
              <w:pStyle w:val="Enttegche"/>
            </w:pPr>
            <w:r>
              <w:rPr>
                <w:noProof/>
              </w:rPr>
              <w:drawing>
                <wp:inline distT="0" distB="0" distL="0" distR="0" wp14:anchorId="6968E869" wp14:editId="78A9058B">
                  <wp:extent cx="1692508" cy="819567"/>
                  <wp:effectExtent l="0" t="0" r="2942"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1692508" cy="819567"/>
                          </a:xfrm>
                          <a:prstGeom prst="rect">
                            <a:avLst/>
                          </a:prstGeom>
                          <a:noFill/>
                          <a:ln>
                            <a:noFill/>
                            <a:prstDash/>
                          </a:ln>
                        </pic:spPr>
                      </pic:pic>
                    </a:graphicData>
                  </a:graphic>
                </wp:inline>
              </w:drawing>
            </w:r>
          </w:p>
        </w:tc>
        <w:tc>
          <w:tcPr>
            <w:tcW w:w="32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80E60A" w14:textId="77777777" w:rsidR="005C370E" w:rsidRDefault="005C370E" w:rsidP="00A34006">
            <w:pPr>
              <w:pStyle w:val="Enttegche"/>
            </w:pPr>
            <w:r>
              <w:rPr>
                <w:noProof/>
              </w:rPr>
              <w:drawing>
                <wp:inline distT="0" distB="0" distL="0" distR="0" wp14:anchorId="074699F0" wp14:editId="3A8C4A27">
                  <wp:extent cx="1866336" cy="648154"/>
                  <wp:effectExtent l="0" t="0" r="564" b="0"/>
                  <wp:docPr id="4" name="Image 6" descr="Expertise France — Wikipédia"/>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rcRect/>
                          <a:stretch>
                            <a:fillRect/>
                          </a:stretch>
                        </pic:blipFill>
                        <pic:spPr>
                          <a:xfrm>
                            <a:off x="0" y="0"/>
                            <a:ext cx="1866336" cy="648154"/>
                          </a:xfrm>
                          <a:prstGeom prst="rect">
                            <a:avLst/>
                          </a:prstGeom>
                          <a:noFill/>
                          <a:ln>
                            <a:noFill/>
                            <a:prstDash/>
                          </a:ln>
                        </pic:spPr>
                      </pic:pic>
                    </a:graphicData>
                  </a:graphic>
                </wp:inline>
              </w:drawing>
            </w:r>
          </w:p>
        </w:tc>
        <w:tc>
          <w:tcPr>
            <w:tcW w:w="3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05FA34" w14:textId="77777777" w:rsidR="005C370E" w:rsidRDefault="005C370E" w:rsidP="00A34006">
            <w:pPr>
              <w:pStyle w:val="Enttegche"/>
            </w:pPr>
            <w:r>
              <w:rPr>
                <w:rFonts w:ascii="Arial" w:hAnsi="Arial" w:cs="Arial"/>
                <w:noProof/>
                <w:color w:val="001BA0"/>
                <w:sz w:val="20"/>
              </w:rPr>
              <w:drawing>
                <wp:anchor distT="0" distB="0" distL="114300" distR="114300" simplePos="0" relativeHeight="251659264" behindDoc="0" locked="0" layoutInCell="1" allowOverlap="1" wp14:anchorId="33059C53" wp14:editId="794AF40A">
                  <wp:simplePos x="0" y="0"/>
                  <wp:positionH relativeFrom="column">
                    <wp:posOffset>-5084</wp:posOffset>
                  </wp:positionH>
                  <wp:positionV relativeFrom="paragraph">
                    <wp:posOffset>161291</wp:posOffset>
                  </wp:positionV>
                  <wp:extent cx="1993904" cy="495933"/>
                  <wp:effectExtent l="0" t="0" r="6346" b="0"/>
                  <wp:wrapTight wrapText="bothSides">
                    <wp:wrapPolygon edited="0">
                      <wp:start x="0" y="0"/>
                      <wp:lineTo x="0" y="20769"/>
                      <wp:lineTo x="21462" y="20769"/>
                      <wp:lineTo x="21462" y="0"/>
                      <wp:lineTo x="0" y="0"/>
                    </wp:wrapPolygon>
                  </wp:wrapTight>
                  <wp:docPr id="3" name="Image 7" descr="Résultat d’images pour logo proparco"/>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rcRect/>
                          <a:stretch>
                            <a:fillRect/>
                          </a:stretch>
                        </pic:blipFill>
                        <pic:spPr>
                          <a:xfrm>
                            <a:off x="0" y="0"/>
                            <a:ext cx="1993904" cy="495933"/>
                          </a:xfrm>
                          <a:prstGeom prst="rect">
                            <a:avLst/>
                          </a:prstGeom>
                          <a:noFill/>
                          <a:ln>
                            <a:noFill/>
                            <a:prstDash/>
                          </a:ln>
                        </pic:spPr>
                      </pic:pic>
                    </a:graphicData>
                  </a:graphic>
                </wp:anchor>
              </w:drawing>
            </w:r>
          </w:p>
        </w:tc>
      </w:tr>
    </w:tbl>
    <w:p w14:paraId="165DD89C" w14:textId="77777777" w:rsidR="006F6BCF" w:rsidRDefault="006F6BCF">
      <w:pPr>
        <w:pStyle w:val="RedaliaNormal"/>
        <w:rPr>
          <w:sz w:val="40"/>
          <w:szCs w:val="40"/>
        </w:rPr>
      </w:pPr>
    </w:p>
    <w:p w14:paraId="294BA121" w14:textId="77777777" w:rsidR="006F6BCF" w:rsidRDefault="00766059">
      <w:pPr>
        <w:pStyle w:val="RedaliaTitredocument"/>
        <w:pBdr>
          <w:top w:val="single" w:sz="4" w:space="1" w:color="000000"/>
          <w:left w:val="single" w:sz="4" w:space="4" w:color="000000"/>
          <w:bottom w:val="single" w:sz="4" w:space="1" w:color="000000"/>
          <w:right w:val="single" w:sz="4" w:space="4" w:color="000000"/>
        </w:pBdr>
      </w:pPr>
      <w:r>
        <w:t>ACCORD-CADRE DE PRESTATIONS INTELLECTUELLES</w:t>
      </w:r>
    </w:p>
    <w:p w14:paraId="55713B44" w14:textId="77777777" w:rsidR="006F6BCF" w:rsidRDefault="006F6BCF">
      <w:pPr>
        <w:pStyle w:val="RedaliaNormal"/>
      </w:pPr>
    </w:p>
    <w:p w14:paraId="73FB7618" w14:textId="77777777" w:rsidR="006F6BCF" w:rsidRDefault="006F6BCF">
      <w:pPr>
        <w:pStyle w:val="RedaliaNormal"/>
        <w:jc w:val="center"/>
      </w:pPr>
    </w:p>
    <w:p w14:paraId="10EE611F" w14:textId="77777777" w:rsidR="006F6BCF" w:rsidRDefault="006F6BCF">
      <w:pPr>
        <w:pStyle w:val="RedaliaNormal"/>
        <w:jc w:val="center"/>
      </w:pPr>
    </w:p>
    <w:p w14:paraId="2410930B" w14:textId="77777777" w:rsidR="006F6BCF" w:rsidRDefault="00766059">
      <w:pPr>
        <w:pStyle w:val="RedaliaNormal"/>
        <w:pBdr>
          <w:top w:val="single" w:sz="4" w:space="1" w:color="000000"/>
          <w:left w:val="single" w:sz="4" w:space="4" w:color="000000"/>
          <w:bottom w:val="single" w:sz="4" w:space="1" w:color="000000"/>
          <w:right w:val="single" w:sz="4" w:space="4" w:color="000000"/>
        </w:pBdr>
        <w:shd w:val="clear" w:color="auto" w:fill="B4C6E7"/>
        <w:jc w:val="center"/>
        <w:rPr>
          <w:b/>
          <w:bCs/>
          <w:sz w:val="24"/>
          <w:szCs w:val="24"/>
        </w:rPr>
      </w:pPr>
      <w:r>
        <w:rPr>
          <w:b/>
          <w:bCs/>
          <w:sz w:val="24"/>
          <w:szCs w:val="24"/>
        </w:rPr>
        <w:t>Agence Française de Développement</w:t>
      </w:r>
    </w:p>
    <w:p w14:paraId="2AE5C9FD" w14:textId="77777777" w:rsidR="006F6BCF" w:rsidRDefault="00766059">
      <w:pPr>
        <w:pStyle w:val="RedaliaNormal"/>
        <w:pBdr>
          <w:top w:val="single" w:sz="4" w:space="1" w:color="000000"/>
          <w:left w:val="single" w:sz="4" w:space="4" w:color="000000"/>
          <w:bottom w:val="single" w:sz="4" w:space="1" w:color="000000"/>
          <w:right w:val="single" w:sz="4" w:space="4" w:color="000000"/>
        </w:pBdr>
        <w:shd w:val="clear" w:color="auto" w:fill="B4C6E7"/>
        <w:jc w:val="center"/>
      </w:pPr>
      <w:r>
        <w:t>5 Rue Roland BARTHES</w:t>
      </w:r>
    </w:p>
    <w:p w14:paraId="4C82C334" w14:textId="77777777" w:rsidR="006F6BCF" w:rsidRDefault="00766059">
      <w:pPr>
        <w:pStyle w:val="RedaliaNormal"/>
        <w:pBdr>
          <w:top w:val="single" w:sz="4" w:space="1" w:color="000000"/>
          <w:left w:val="single" w:sz="4" w:space="4" w:color="000000"/>
          <w:bottom w:val="single" w:sz="4" w:space="1" w:color="000000"/>
          <w:right w:val="single" w:sz="4" w:space="4" w:color="000000"/>
        </w:pBdr>
        <w:shd w:val="clear" w:color="auto" w:fill="B4C6E7"/>
        <w:jc w:val="center"/>
      </w:pPr>
      <w:r>
        <w:t>75012 PARIS</w:t>
      </w:r>
    </w:p>
    <w:p w14:paraId="4F8788FE" w14:textId="77777777" w:rsidR="006F6BCF" w:rsidRDefault="006F6BCF">
      <w:pPr>
        <w:pStyle w:val="RedaliaNormal"/>
        <w:jc w:val="center"/>
      </w:pPr>
    </w:p>
    <w:p w14:paraId="1D9F4FB8" w14:textId="77777777" w:rsidR="006F6BCF" w:rsidRDefault="00766059">
      <w:pPr>
        <w:pStyle w:val="RedaliaNormal"/>
        <w:pBdr>
          <w:top w:val="single" w:sz="4" w:space="1" w:color="000000"/>
          <w:left w:val="single" w:sz="4" w:space="4" w:color="000000"/>
          <w:bottom w:val="single" w:sz="4" w:space="1" w:color="000000"/>
          <w:right w:val="single" w:sz="4" w:space="4" w:color="000000"/>
        </w:pBdr>
        <w:shd w:val="clear" w:color="auto" w:fill="B4C6E7"/>
        <w:jc w:val="center"/>
        <w:rPr>
          <w:b/>
          <w:bCs/>
        </w:rPr>
      </w:pPr>
      <w:r>
        <w:rPr>
          <w:b/>
          <w:bCs/>
        </w:rPr>
        <w:t>Objet : ACCORD-CADRE METIER DES FONCTIONS RISQUE, CONFORMITE / CONTROLE PERMANENT</w:t>
      </w:r>
    </w:p>
    <w:p w14:paraId="43613224" w14:textId="77777777" w:rsidR="006F6BCF" w:rsidRDefault="006F6BCF">
      <w:pPr>
        <w:pStyle w:val="RedaliaNormal"/>
      </w:pPr>
    </w:p>
    <w:p w14:paraId="02CD77AF" w14:textId="77777777" w:rsidR="006F6BCF" w:rsidRDefault="00766059">
      <w:pPr>
        <w:pStyle w:val="RdaliaTitreparagraphe"/>
      </w:pPr>
      <w:r>
        <w:t>Date limite de remise des candidatures</w:t>
      </w:r>
    </w:p>
    <w:p w14:paraId="1F751791" w14:textId="0937B666" w:rsidR="006F6BCF" w:rsidRDefault="00766059">
      <w:pPr>
        <w:pStyle w:val="RedaliaNormal"/>
      </w:pPr>
      <w:r>
        <w:t xml:space="preserve">Date : </w:t>
      </w:r>
      <w:r w:rsidR="00454F3D">
        <w:t>4</w:t>
      </w:r>
      <w:r w:rsidR="00C76454">
        <w:t>/0</w:t>
      </w:r>
      <w:r w:rsidR="00454F3D">
        <w:t>9</w:t>
      </w:r>
      <w:r w:rsidR="00C76454">
        <w:t>/2025</w:t>
      </w:r>
    </w:p>
    <w:p w14:paraId="6A15E8D9" w14:textId="25221BB2" w:rsidR="006F6BCF" w:rsidRDefault="00766059">
      <w:pPr>
        <w:pStyle w:val="RedaliaNormal"/>
      </w:pPr>
      <w:r>
        <w:t xml:space="preserve">Heure : </w:t>
      </w:r>
      <w:r w:rsidR="00C76454">
        <w:t>12 :00</w:t>
      </w:r>
      <w:r>
        <w:t xml:space="preserve"> (heure de Paris)</w:t>
      </w:r>
    </w:p>
    <w:p w14:paraId="6592AF23" w14:textId="77777777" w:rsidR="006F6BCF" w:rsidRDefault="00766059">
      <w:pPr>
        <w:pStyle w:val="RdaliaTitreparagraphe"/>
      </w:pPr>
      <w:r>
        <w:t>Date limite de remise des offres</w:t>
      </w:r>
    </w:p>
    <w:p w14:paraId="4755B78B" w14:textId="471FEA01" w:rsidR="006F6BCF" w:rsidRDefault="00766059">
      <w:pPr>
        <w:pStyle w:val="RedaliaNormal"/>
      </w:pPr>
      <w:r>
        <w:t xml:space="preserve">Date : </w:t>
      </w:r>
      <w:r w:rsidR="00C76454">
        <w:t xml:space="preserve"> FIN OCTOBRE (ESTIMATIF)</w:t>
      </w:r>
    </w:p>
    <w:p w14:paraId="3E6F2391" w14:textId="5A472412" w:rsidR="006F6BCF" w:rsidRDefault="00766059">
      <w:pPr>
        <w:pStyle w:val="RedaliaNormal"/>
      </w:pPr>
      <w:r>
        <w:t>Heure :</w:t>
      </w:r>
      <w:r w:rsidR="004365BE">
        <w:t xml:space="preserve"> 12 :00 </w:t>
      </w:r>
      <w:r>
        <w:t>(heure de Paris)</w:t>
      </w:r>
    </w:p>
    <w:p w14:paraId="48B443DF" w14:textId="77777777" w:rsidR="006F6BCF" w:rsidRDefault="006F6BCF">
      <w:pPr>
        <w:pStyle w:val="RedaliaNormal"/>
      </w:pPr>
    </w:p>
    <w:p w14:paraId="469CA5D1" w14:textId="77777777" w:rsidR="006F6BCF" w:rsidRDefault="006F6BCF">
      <w:pPr>
        <w:pStyle w:val="RedaliaNormal"/>
      </w:pPr>
    </w:p>
    <w:p w14:paraId="02921AAC" w14:textId="77777777" w:rsidR="006F6BCF" w:rsidRDefault="006F6BCF">
      <w:pPr>
        <w:pStyle w:val="RedaliaSoustitredocument"/>
      </w:pPr>
    </w:p>
    <w:p w14:paraId="3A15E07F" w14:textId="77777777" w:rsidR="006F6BCF" w:rsidRDefault="006F6BCF">
      <w:pPr>
        <w:pStyle w:val="RedaliaSoustitredocument"/>
      </w:pPr>
    </w:p>
    <w:p w14:paraId="745241D3" w14:textId="77777777" w:rsidR="006F6BCF" w:rsidRDefault="00766059">
      <w:pPr>
        <w:pStyle w:val="RedaliaSoustitredocument"/>
        <w:pBdr>
          <w:top w:val="single" w:sz="4" w:space="1" w:color="000000"/>
          <w:left w:val="single" w:sz="4" w:space="4" w:color="000000"/>
          <w:bottom w:val="single" w:sz="4" w:space="1" w:color="000000"/>
          <w:right w:val="single" w:sz="4" w:space="4" w:color="000000"/>
        </w:pBdr>
        <w:shd w:val="clear" w:color="auto" w:fill="B4C6E7"/>
        <w:rPr>
          <w:b/>
          <w:sz w:val="24"/>
          <w:szCs w:val="24"/>
        </w:rPr>
      </w:pPr>
      <w:r>
        <w:rPr>
          <w:b/>
          <w:sz w:val="24"/>
          <w:szCs w:val="24"/>
        </w:rPr>
        <w:t>Règlement de la consultation</w:t>
      </w:r>
    </w:p>
    <w:p w14:paraId="12B43CC2" w14:textId="77777777" w:rsidR="006F6BCF" w:rsidRDefault="006F6BCF" w:rsidP="00246D95">
      <w:pPr>
        <w:pStyle w:val="RedaliaNormal"/>
        <w:ind w:right="-1"/>
      </w:pPr>
    </w:p>
    <w:p w14:paraId="278B90C1" w14:textId="77777777" w:rsidR="006F6BCF" w:rsidRDefault="006F6BCF"/>
    <w:p w14:paraId="303D1162" w14:textId="77777777" w:rsidR="006F6BCF" w:rsidRDefault="006F6BCF">
      <w:pPr>
        <w:pStyle w:val="RedaliaNormal"/>
        <w:pageBreakBefore/>
      </w:pPr>
    </w:p>
    <w:p w14:paraId="31D0AB34" w14:textId="77777777" w:rsidR="006F6BCF" w:rsidRDefault="00766059">
      <w:pPr>
        <w:pStyle w:val="RdaliaTitredossier"/>
      </w:pPr>
      <w:r>
        <w:t>SOMMAIRE</w:t>
      </w:r>
    </w:p>
    <w:p w14:paraId="2D44B21F" w14:textId="77777777" w:rsidR="006F6BCF" w:rsidRDefault="006F6BCF">
      <w:pPr>
        <w:pStyle w:val="RedaliaNormal"/>
      </w:pPr>
    </w:p>
    <w:p w14:paraId="5E5ED8C9" w14:textId="735D3E91" w:rsidR="001A62A7" w:rsidRDefault="00766059">
      <w:pPr>
        <w:pStyle w:val="TM1"/>
        <w:tabs>
          <w:tab w:val="left" w:pos="601"/>
        </w:tabs>
        <w:rPr>
          <w:rFonts w:asciiTheme="minorHAnsi" w:eastAsiaTheme="minorEastAsia" w:hAnsiTheme="minorHAnsi" w:cstheme="minorBidi"/>
          <w:b w:val="0"/>
          <w:noProof/>
          <w:kern w:val="2"/>
          <w:szCs w:val="24"/>
          <w14:ligatures w14:val="standardContextual"/>
        </w:rPr>
      </w:pPr>
      <w:r>
        <w:rPr>
          <w:b w:val="0"/>
          <w:kern w:val="0"/>
          <w:sz w:val="22"/>
        </w:rPr>
        <w:fldChar w:fldCharType="begin"/>
      </w:r>
      <w:r>
        <w:instrText xml:space="preserve"> TOC \o "1-2" \u \h </w:instrText>
      </w:r>
      <w:r>
        <w:rPr>
          <w:b w:val="0"/>
          <w:kern w:val="0"/>
          <w:sz w:val="22"/>
        </w:rPr>
        <w:fldChar w:fldCharType="separate"/>
      </w:r>
      <w:hyperlink w:anchor="_Toc204789918" w:history="1">
        <w:r w:rsidR="001A62A7" w:rsidRPr="00D92F67">
          <w:rPr>
            <w:rStyle w:val="Lienhypertexte"/>
            <w:noProof/>
          </w:rPr>
          <w:t>1.</w:t>
        </w:r>
        <w:r w:rsidR="001A62A7">
          <w:rPr>
            <w:rFonts w:asciiTheme="minorHAnsi" w:eastAsiaTheme="minorEastAsia" w:hAnsiTheme="minorHAnsi" w:cstheme="minorBidi"/>
            <w:b w:val="0"/>
            <w:noProof/>
            <w:kern w:val="2"/>
            <w:szCs w:val="24"/>
            <w14:ligatures w14:val="standardContextual"/>
          </w:rPr>
          <w:tab/>
        </w:r>
        <w:r w:rsidR="001A62A7" w:rsidRPr="00D92F67">
          <w:rPr>
            <w:rStyle w:val="Lienhypertexte"/>
            <w:noProof/>
          </w:rPr>
          <w:t>Objet de l’accord-cadre – Caractéristiques principales</w:t>
        </w:r>
        <w:r w:rsidR="001A62A7">
          <w:rPr>
            <w:noProof/>
          </w:rPr>
          <w:tab/>
        </w:r>
        <w:r w:rsidR="001A62A7">
          <w:rPr>
            <w:noProof/>
          </w:rPr>
          <w:fldChar w:fldCharType="begin"/>
        </w:r>
        <w:r w:rsidR="001A62A7">
          <w:rPr>
            <w:noProof/>
          </w:rPr>
          <w:instrText xml:space="preserve"> PAGEREF _Toc204789918 \h </w:instrText>
        </w:r>
        <w:r w:rsidR="001A62A7">
          <w:rPr>
            <w:noProof/>
          </w:rPr>
        </w:r>
        <w:r w:rsidR="001A62A7">
          <w:rPr>
            <w:noProof/>
          </w:rPr>
          <w:fldChar w:fldCharType="separate"/>
        </w:r>
        <w:r w:rsidR="001A62A7">
          <w:rPr>
            <w:noProof/>
          </w:rPr>
          <w:t>3</w:t>
        </w:r>
        <w:r w:rsidR="001A62A7">
          <w:rPr>
            <w:noProof/>
          </w:rPr>
          <w:fldChar w:fldCharType="end"/>
        </w:r>
      </w:hyperlink>
    </w:p>
    <w:p w14:paraId="77AF8935" w14:textId="5098D2E5" w:rsidR="001A62A7" w:rsidRDefault="001A62A7">
      <w:pPr>
        <w:pStyle w:val="TM2"/>
        <w:tabs>
          <w:tab w:val="left" w:pos="799"/>
        </w:tabs>
        <w:rPr>
          <w:rFonts w:asciiTheme="minorHAnsi" w:eastAsiaTheme="minorEastAsia" w:hAnsiTheme="minorHAnsi" w:cstheme="minorBidi"/>
          <w:noProof/>
          <w:kern w:val="2"/>
          <w:sz w:val="24"/>
          <w:szCs w:val="24"/>
          <w14:ligatures w14:val="standardContextual"/>
        </w:rPr>
      </w:pPr>
      <w:hyperlink w:anchor="_Toc204789919" w:history="1">
        <w:r w:rsidRPr="00D92F67">
          <w:rPr>
            <w:rStyle w:val="Lienhypertexte"/>
            <w:noProof/>
          </w:rPr>
          <w:t>1.1</w:t>
        </w:r>
        <w:r>
          <w:rPr>
            <w:rFonts w:asciiTheme="minorHAnsi" w:eastAsiaTheme="minorEastAsia" w:hAnsiTheme="minorHAnsi" w:cstheme="minorBidi"/>
            <w:noProof/>
            <w:kern w:val="2"/>
            <w:sz w:val="24"/>
            <w:szCs w:val="24"/>
            <w14:ligatures w14:val="standardContextual"/>
          </w:rPr>
          <w:tab/>
        </w:r>
        <w:r w:rsidRPr="00D92F67">
          <w:rPr>
            <w:rStyle w:val="Lienhypertexte"/>
            <w:noProof/>
          </w:rPr>
          <w:t>Objet de l’accord-cadre</w:t>
        </w:r>
        <w:r>
          <w:rPr>
            <w:noProof/>
          </w:rPr>
          <w:tab/>
        </w:r>
        <w:r>
          <w:rPr>
            <w:noProof/>
          </w:rPr>
          <w:fldChar w:fldCharType="begin"/>
        </w:r>
        <w:r>
          <w:rPr>
            <w:noProof/>
          </w:rPr>
          <w:instrText xml:space="preserve"> PAGEREF _Toc204789919 \h </w:instrText>
        </w:r>
        <w:r>
          <w:rPr>
            <w:noProof/>
          </w:rPr>
        </w:r>
        <w:r>
          <w:rPr>
            <w:noProof/>
          </w:rPr>
          <w:fldChar w:fldCharType="separate"/>
        </w:r>
        <w:r>
          <w:rPr>
            <w:noProof/>
          </w:rPr>
          <w:t>3</w:t>
        </w:r>
        <w:r>
          <w:rPr>
            <w:noProof/>
          </w:rPr>
          <w:fldChar w:fldCharType="end"/>
        </w:r>
      </w:hyperlink>
    </w:p>
    <w:p w14:paraId="242FAF91" w14:textId="0D4F8DA3" w:rsidR="001A62A7" w:rsidRDefault="001A62A7">
      <w:pPr>
        <w:pStyle w:val="TM2"/>
        <w:tabs>
          <w:tab w:val="left" w:pos="799"/>
        </w:tabs>
        <w:rPr>
          <w:rFonts w:asciiTheme="minorHAnsi" w:eastAsiaTheme="minorEastAsia" w:hAnsiTheme="minorHAnsi" w:cstheme="minorBidi"/>
          <w:noProof/>
          <w:kern w:val="2"/>
          <w:sz w:val="24"/>
          <w:szCs w:val="24"/>
          <w14:ligatures w14:val="standardContextual"/>
        </w:rPr>
      </w:pPr>
      <w:hyperlink w:anchor="_Toc204789920" w:history="1">
        <w:r w:rsidRPr="00D92F67">
          <w:rPr>
            <w:rStyle w:val="Lienhypertexte"/>
            <w:noProof/>
          </w:rPr>
          <w:t>1.2</w:t>
        </w:r>
        <w:r>
          <w:rPr>
            <w:rFonts w:asciiTheme="minorHAnsi" w:eastAsiaTheme="minorEastAsia" w:hAnsiTheme="minorHAnsi" w:cstheme="minorBidi"/>
            <w:noProof/>
            <w:kern w:val="2"/>
            <w:sz w:val="24"/>
            <w:szCs w:val="24"/>
            <w14:ligatures w14:val="standardContextual"/>
          </w:rPr>
          <w:tab/>
        </w:r>
        <w:r w:rsidRPr="00D92F67">
          <w:rPr>
            <w:rStyle w:val="Lienhypertexte"/>
            <w:noProof/>
          </w:rPr>
          <w:t>Lieu d’exécution</w:t>
        </w:r>
        <w:r>
          <w:rPr>
            <w:noProof/>
          </w:rPr>
          <w:tab/>
        </w:r>
        <w:r>
          <w:rPr>
            <w:noProof/>
          </w:rPr>
          <w:fldChar w:fldCharType="begin"/>
        </w:r>
        <w:r>
          <w:rPr>
            <w:noProof/>
          </w:rPr>
          <w:instrText xml:space="preserve"> PAGEREF _Toc204789920 \h </w:instrText>
        </w:r>
        <w:r>
          <w:rPr>
            <w:noProof/>
          </w:rPr>
        </w:r>
        <w:r>
          <w:rPr>
            <w:noProof/>
          </w:rPr>
          <w:fldChar w:fldCharType="separate"/>
        </w:r>
        <w:r>
          <w:rPr>
            <w:noProof/>
          </w:rPr>
          <w:t>3</w:t>
        </w:r>
        <w:r>
          <w:rPr>
            <w:noProof/>
          </w:rPr>
          <w:fldChar w:fldCharType="end"/>
        </w:r>
      </w:hyperlink>
    </w:p>
    <w:p w14:paraId="546F0426" w14:textId="58E70423" w:rsidR="001A62A7" w:rsidRDefault="001A62A7">
      <w:pPr>
        <w:pStyle w:val="TM2"/>
        <w:tabs>
          <w:tab w:val="left" w:pos="799"/>
        </w:tabs>
        <w:rPr>
          <w:rFonts w:asciiTheme="minorHAnsi" w:eastAsiaTheme="minorEastAsia" w:hAnsiTheme="minorHAnsi" w:cstheme="minorBidi"/>
          <w:noProof/>
          <w:kern w:val="2"/>
          <w:sz w:val="24"/>
          <w:szCs w:val="24"/>
          <w14:ligatures w14:val="standardContextual"/>
        </w:rPr>
      </w:pPr>
      <w:hyperlink w:anchor="_Toc204789921" w:history="1">
        <w:r w:rsidRPr="00D92F67">
          <w:rPr>
            <w:rStyle w:val="Lienhypertexte"/>
            <w:noProof/>
          </w:rPr>
          <w:t>1.3</w:t>
        </w:r>
        <w:r>
          <w:rPr>
            <w:rFonts w:asciiTheme="minorHAnsi" w:eastAsiaTheme="minorEastAsia" w:hAnsiTheme="minorHAnsi" w:cstheme="minorBidi"/>
            <w:noProof/>
            <w:kern w:val="2"/>
            <w:sz w:val="24"/>
            <w:szCs w:val="24"/>
            <w14:ligatures w14:val="standardContextual"/>
          </w:rPr>
          <w:tab/>
        </w:r>
        <w:r w:rsidRPr="00D92F67">
          <w:rPr>
            <w:rStyle w:val="Lienhypertexte"/>
            <w:noProof/>
          </w:rPr>
          <w:t>Forme des accords-cadres</w:t>
        </w:r>
        <w:r>
          <w:rPr>
            <w:noProof/>
          </w:rPr>
          <w:tab/>
        </w:r>
        <w:r>
          <w:rPr>
            <w:noProof/>
          </w:rPr>
          <w:fldChar w:fldCharType="begin"/>
        </w:r>
        <w:r>
          <w:rPr>
            <w:noProof/>
          </w:rPr>
          <w:instrText xml:space="preserve"> PAGEREF _Toc204789921 \h </w:instrText>
        </w:r>
        <w:r>
          <w:rPr>
            <w:noProof/>
          </w:rPr>
        </w:r>
        <w:r>
          <w:rPr>
            <w:noProof/>
          </w:rPr>
          <w:fldChar w:fldCharType="separate"/>
        </w:r>
        <w:r>
          <w:rPr>
            <w:noProof/>
          </w:rPr>
          <w:t>3</w:t>
        </w:r>
        <w:r>
          <w:rPr>
            <w:noProof/>
          </w:rPr>
          <w:fldChar w:fldCharType="end"/>
        </w:r>
      </w:hyperlink>
    </w:p>
    <w:p w14:paraId="41FF01AB" w14:textId="78DB08CE" w:rsidR="001A62A7" w:rsidRDefault="001A62A7">
      <w:pPr>
        <w:pStyle w:val="TM2"/>
        <w:tabs>
          <w:tab w:val="left" w:pos="799"/>
        </w:tabs>
        <w:rPr>
          <w:rFonts w:asciiTheme="minorHAnsi" w:eastAsiaTheme="minorEastAsia" w:hAnsiTheme="minorHAnsi" w:cstheme="minorBidi"/>
          <w:noProof/>
          <w:kern w:val="2"/>
          <w:sz w:val="24"/>
          <w:szCs w:val="24"/>
          <w14:ligatures w14:val="standardContextual"/>
        </w:rPr>
      </w:pPr>
      <w:hyperlink w:anchor="_Toc204789922" w:history="1">
        <w:r w:rsidRPr="00D92F67">
          <w:rPr>
            <w:rStyle w:val="Lienhypertexte"/>
            <w:noProof/>
          </w:rPr>
          <w:t>1.4</w:t>
        </w:r>
        <w:r>
          <w:rPr>
            <w:rFonts w:asciiTheme="minorHAnsi" w:eastAsiaTheme="minorEastAsia" w:hAnsiTheme="minorHAnsi" w:cstheme="minorBidi"/>
            <w:noProof/>
            <w:kern w:val="2"/>
            <w:sz w:val="24"/>
            <w:szCs w:val="24"/>
            <w14:ligatures w14:val="standardContextual"/>
          </w:rPr>
          <w:tab/>
        </w:r>
        <w:r w:rsidRPr="00D92F67">
          <w:rPr>
            <w:rStyle w:val="Lienhypertexte"/>
            <w:noProof/>
          </w:rPr>
          <w:t>Marchés de prestations similaires</w:t>
        </w:r>
        <w:r>
          <w:rPr>
            <w:noProof/>
          </w:rPr>
          <w:tab/>
        </w:r>
        <w:r>
          <w:rPr>
            <w:noProof/>
          </w:rPr>
          <w:fldChar w:fldCharType="begin"/>
        </w:r>
        <w:r>
          <w:rPr>
            <w:noProof/>
          </w:rPr>
          <w:instrText xml:space="preserve"> PAGEREF _Toc204789922 \h </w:instrText>
        </w:r>
        <w:r>
          <w:rPr>
            <w:noProof/>
          </w:rPr>
        </w:r>
        <w:r>
          <w:rPr>
            <w:noProof/>
          </w:rPr>
          <w:fldChar w:fldCharType="separate"/>
        </w:r>
        <w:r>
          <w:rPr>
            <w:noProof/>
          </w:rPr>
          <w:t>3</w:t>
        </w:r>
        <w:r>
          <w:rPr>
            <w:noProof/>
          </w:rPr>
          <w:fldChar w:fldCharType="end"/>
        </w:r>
      </w:hyperlink>
    </w:p>
    <w:p w14:paraId="6EEFCB1E" w14:textId="6B4A0EA0" w:rsidR="001A62A7" w:rsidRDefault="001A62A7">
      <w:pPr>
        <w:pStyle w:val="TM1"/>
        <w:tabs>
          <w:tab w:val="left" w:pos="601"/>
        </w:tabs>
        <w:rPr>
          <w:rFonts w:asciiTheme="minorHAnsi" w:eastAsiaTheme="minorEastAsia" w:hAnsiTheme="minorHAnsi" w:cstheme="minorBidi"/>
          <w:b w:val="0"/>
          <w:noProof/>
          <w:kern w:val="2"/>
          <w:szCs w:val="24"/>
          <w14:ligatures w14:val="standardContextual"/>
        </w:rPr>
      </w:pPr>
      <w:hyperlink w:anchor="_Toc204789923" w:history="1">
        <w:r w:rsidRPr="00D92F67">
          <w:rPr>
            <w:rStyle w:val="Lienhypertexte"/>
            <w:noProof/>
          </w:rPr>
          <w:t>2.</w:t>
        </w:r>
        <w:r>
          <w:rPr>
            <w:rFonts w:asciiTheme="minorHAnsi" w:eastAsiaTheme="minorEastAsia" w:hAnsiTheme="minorHAnsi" w:cstheme="minorBidi"/>
            <w:b w:val="0"/>
            <w:noProof/>
            <w:kern w:val="2"/>
            <w:szCs w:val="24"/>
            <w14:ligatures w14:val="standardContextual"/>
          </w:rPr>
          <w:tab/>
        </w:r>
        <w:r w:rsidRPr="00D92F67">
          <w:rPr>
            <w:rStyle w:val="Lienhypertexte"/>
            <w:noProof/>
          </w:rPr>
          <w:t>Conditions de la consultation</w:t>
        </w:r>
        <w:r>
          <w:rPr>
            <w:noProof/>
          </w:rPr>
          <w:tab/>
        </w:r>
        <w:r>
          <w:rPr>
            <w:noProof/>
          </w:rPr>
          <w:fldChar w:fldCharType="begin"/>
        </w:r>
        <w:r>
          <w:rPr>
            <w:noProof/>
          </w:rPr>
          <w:instrText xml:space="preserve"> PAGEREF _Toc204789923 \h </w:instrText>
        </w:r>
        <w:r>
          <w:rPr>
            <w:noProof/>
          </w:rPr>
        </w:r>
        <w:r>
          <w:rPr>
            <w:noProof/>
          </w:rPr>
          <w:fldChar w:fldCharType="separate"/>
        </w:r>
        <w:r>
          <w:rPr>
            <w:noProof/>
          </w:rPr>
          <w:t>3</w:t>
        </w:r>
        <w:r>
          <w:rPr>
            <w:noProof/>
          </w:rPr>
          <w:fldChar w:fldCharType="end"/>
        </w:r>
      </w:hyperlink>
    </w:p>
    <w:p w14:paraId="0050417A" w14:textId="4FB842CE" w:rsidR="001A62A7" w:rsidRDefault="001A62A7">
      <w:pPr>
        <w:pStyle w:val="TM2"/>
        <w:tabs>
          <w:tab w:val="left" w:pos="799"/>
        </w:tabs>
        <w:rPr>
          <w:rFonts w:asciiTheme="minorHAnsi" w:eastAsiaTheme="minorEastAsia" w:hAnsiTheme="minorHAnsi" w:cstheme="minorBidi"/>
          <w:noProof/>
          <w:kern w:val="2"/>
          <w:sz w:val="24"/>
          <w:szCs w:val="24"/>
          <w14:ligatures w14:val="standardContextual"/>
        </w:rPr>
      </w:pPr>
      <w:hyperlink w:anchor="_Toc204789924" w:history="1">
        <w:r w:rsidRPr="00D92F67">
          <w:rPr>
            <w:rStyle w:val="Lienhypertexte"/>
            <w:noProof/>
          </w:rPr>
          <w:t>2.1</w:t>
        </w:r>
        <w:r>
          <w:rPr>
            <w:rFonts w:asciiTheme="minorHAnsi" w:eastAsiaTheme="minorEastAsia" w:hAnsiTheme="minorHAnsi" w:cstheme="minorBidi"/>
            <w:noProof/>
            <w:kern w:val="2"/>
            <w:sz w:val="24"/>
            <w:szCs w:val="24"/>
            <w14:ligatures w14:val="standardContextual"/>
          </w:rPr>
          <w:tab/>
        </w:r>
        <w:r w:rsidRPr="00D92F67">
          <w:rPr>
            <w:rStyle w:val="Lienhypertexte"/>
            <w:noProof/>
          </w:rPr>
          <w:t>Procédure de la consultation</w:t>
        </w:r>
        <w:r>
          <w:rPr>
            <w:noProof/>
          </w:rPr>
          <w:tab/>
        </w:r>
        <w:r>
          <w:rPr>
            <w:noProof/>
          </w:rPr>
          <w:fldChar w:fldCharType="begin"/>
        </w:r>
        <w:r>
          <w:rPr>
            <w:noProof/>
          </w:rPr>
          <w:instrText xml:space="preserve"> PAGEREF _Toc204789924 \h </w:instrText>
        </w:r>
        <w:r>
          <w:rPr>
            <w:noProof/>
          </w:rPr>
        </w:r>
        <w:r>
          <w:rPr>
            <w:noProof/>
          </w:rPr>
          <w:fldChar w:fldCharType="separate"/>
        </w:r>
        <w:r>
          <w:rPr>
            <w:noProof/>
          </w:rPr>
          <w:t>3</w:t>
        </w:r>
        <w:r>
          <w:rPr>
            <w:noProof/>
          </w:rPr>
          <w:fldChar w:fldCharType="end"/>
        </w:r>
      </w:hyperlink>
    </w:p>
    <w:p w14:paraId="21EC974D" w14:textId="21FE9B4F" w:rsidR="001A62A7" w:rsidRDefault="001A62A7">
      <w:pPr>
        <w:pStyle w:val="TM2"/>
        <w:tabs>
          <w:tab w:val="left" w:pos="799"/>
        </w:tabs>
        <w:rPr>
          <w:rFonts w:asciiTheme="minorHAnsi" w:eastAsiaTheme="minorEastAsia" w:hAnsiTheme="minorHAnsi" w:cstheme="minorBidi"/>
          <w:noProof/>
          <w:kern w:val="2"/>
          <w:sz w:val="24"/>
          <w:szCs w:val="24"/>
          <w14:ligatures w14:val="standardContextual"/>
        </w:rPr>
      </w:pPr>
      <w:hyperlink w:anchor="_Toc204789925" w:history="1">
        <w:r w:rsidRPr="00D92F67">
          <w:rPr>
            <w:rStyle w:val="Lienhypertexte"/>
            <w:noProof/>
          </w:rPr>
          <w:t>2.2</w:t>
        </w:r>
        <w:r>
          <w:rPr>
            <w:rFonts w:asciiTheme="minorHAnsi" w:eastAsiaTheme="minorEastAsia" w:hAnsiTheme="minorHAnsi" w:cstheme="minorBidi"/>
            <w:noProof/>
            <w:kern w:val="2"/>
            <w:sz w:val="24"/>
            <w:szCs w:val="24"/>
            <w14:ligatures w14:val="standardContextual"/>
          </w:rPr>
          <w:tab/>
        </w:r>
        <w:r w:rsidRPr="00D92F67">
          <w:rPr>
            <w:rStyle w:val="Lienhypertexte"/>
            <w:noProof/>
          </w:rPr>
          <w:t>Déroulé de la procédure</w:t>
        </w:r>
        <w:r>
          <w:rPr>
            <w:noProof/>
          </w:rPr>
          <w:tab/>
        </w:r>
        <w:r>
          <w:rPr>
            <w:noProof/>
          </w:rPr>
          <w:fldChar w:fldCharType="begin"/>
        </w:r>
        <w:r>
          <w:rPr>
            <w:noProof/>
          </w:rPr>
          <w:instrText xml:space="preserve"> PAGEREF _Toc204789925 \h </w:instrText>
        </w:r>
        <w:r>
          <w:rPr>
            <w:noProof/>
          </w:rPr>
        </w:r>
        <w:r>
          <w:rPr>
            <w:noProof/>
          </w:rPr>
          <w:fldChar w:fldCharType="separate"/>
        </w:r>
        <w:r>
          <w:rPr>
            <w:noProof/>
          </w:rPr>
          <w:t>4</w:t>
        </w:r>
        <w:r>
          <w:rPr>
            <w:noProof/>
          </w:rPr>
          <w:fldChar w:fldCharType="end"/>
        </w:r>
      </w:hyperlink>
    </w:p>
    <w:p w14:paraId="0C751E5F" w14:textId="47949F21" w:rsidR="001A62A7" w:rsidRDefault="001A62A7">
      <w:pPr>
        <w:pStyle w:val="TM2"/>
        <w:tabs>
          <w:tab w:val="left" w:pos="799"/>
        </w:tabs>
        <w:rPr>
          <w:rFonts w:asciiTheme="minorHAnsi" w:eastAsiaTheme="minorEastAsia" w:hAnsiTheme="minorHAnsi" w:cstheme="minorBidi"/>
          <w:noProof/>
          <w:kern w:val="2"/>
          <w:sz w:val="24"/>
          <w:szCs w:val="24"/>
          <w14:ligatures w14:val="standardContextual"/>
        </w:rPr>
      </w:pPr>
      <w:hyperlink w:anchor="_Toc204789926" w:history="1">
        <w:r w:rsidRPr="00D92F67">
          <w:rPr>
            <w:rStyle w:val="Lienhypertexte"/>
            <w:noProof/>
          </w:rPr>
          <w:t>2.3</w:t>
        </w:r>
        <w:r>
          <w:rPr>
            <w:rFonts w:asciiTheme="minorHAnsi" w:eastAsiaTheme="minorEastAsia" w:hAnsiTheme="minorHAnsi" w:cstheme="minorBidi"/>
            <w:noProof/>
            <w:kern w:val="2"/>
            <w:sz w:val="24"/>
            <w:szCs w:val="24"/>
            <w14:ligatures w14:val="standardContextual"/>
          </w:rPr>
          <w:tab/>
        </w:r>
        <w:r w:rsidRPr="00D92F67">
          <w:rPr>
            <w:rStyle w:val="Lienhypertexte"/>
            <w:noProof/>
          </w:rPr>
          <w:t>Mode de dévolution : accords-cadres séparés</w:t>
        </w:r>
        <w:r>
          <w:rPr>
            <w:noProof/>
          </w:rPr>
          <w:tab/>
        </w:r>
        <w:r>
          <w:rPr>
            <w:noProof/>
          </w:rPr>
          <w:fldChar w:fldCharType="begin"/>
        </w:r>
        <w:r>
          <w:rPr>
            <w:noProof/>
          </w:rPr>
          <w:instrText xml:space="preserve"> PAGEREF _Toc204789926 \h </w:instrText>
        </w:r>
        <w:r>
          <w:rPr>
            <w:noProof/>
          </w:rPr>
        </w:r>
        <w:r>
          <w:rPr>
            <w:noProof/>
          </w:rPr>
          <w:fldChar w:fldCharType="separate"/>
        </w:r>
        <w:r>
          <w:rPr>
            <w:noProof/>
          </w:rPr>
          <w:t>5</w:t>
        </w:r>
        <w:r>
          <w:rPr>
            <w:noProof/>
          </w:rPr>
          <w:fldChar w:fldCharType="end"/>
        </w:r>
      </w:hyperlink>
    </w:p>
    <w:p w14:paraId="041AE99F" w14:textId="0017C0E7" w:rsidR="001A62A7" w:rsidRDefault="001A62A7">
      <w:pPr>
        <w:pStyle w:val="TM2"/>
        <w:tabs>
          <w:tab w:val="left" w:pos="799"/>
        </w:tabs>
        <w:rPr>
          <w:rFonts w:asciiTheme="minorHAnsi" w:eastAsiaTheme="minorEastAsia" w:hAnsiTheme="minorHAnsi" w:cstheme="minorBidi"/>
          <w:noProof/>
          <w:kern w:val="2"/>
          <w:sz w:val="24"/>
          <w:szCs w:val="24"/>
          <w14:ligatures w14:val="standardContextual"/>
        </w:rPr>
      </w:pPr>
      <w:hyperlink w:anchor="_Toc204789927" w:history="1">
        <w:r w:rsidRPr="00D92F67">
          <w:rPr>
            <w:rStyle w:val="Lienhypertexte"/>
            <w:noProof/>
          </w:rPr>
          <w:t>2.4</w:t>
        </w:r>
        <w:r>
          <w:rPr>
            <w:rFonts w:asciiTheme="minorHAnsi" w:eastAsiaTheme="minorEastAsia" w:hAnsiTheme="minorHAnsi" w:cstheme="minorBidi"/>
            <w:noProof/>
            <w:kern w:val="2"/>
            <w:sz w:val="24"/>
            <w:szCs w:val="24"/>
            <w14:ligatures w14:val="standardContextual"/>
          </w:rPr>
          <w:tab/>
        </w:r>
        <w:r w:rsidRPr="00D92F67">
          <w:rPr>
            <w:rStyle w:val="Lienhypertexte"/>
            <w:noProof/>
          </w:rPr>
          <w:t>Dispositions relatives aux groupements</w:t>
        </w:r>
        <w:r>
          <w:rPr>
            <w:noProof/>
          </w:rPr>
          <w:tab/>
        </w:r>
        <w:r>
          <w:rPr>
            <w:noProof/>
          </w:rPr>
          <w:fldChar w:fldCharType="begin"/>
        </w:r>
        <w:r>
          <w:rPr>
            <w:noProof/>
          </w:rPr>
          <w:instrText xml:space="preserve"> PAGEREF _Toc204789927 \h </w:instrText>
        </w:r>
        <w:r>
          <w:rPr>
            <w:noProof/>
          </w:rPr>
        </w:r>
        <w:r>
          <w:rPr>
            <w:noProof/>
          </w:rPr>
          <w:fldChar w:fldCharType="separate"/>
        </w:r>
        <w:r>
          <w:rPr>
            <w:noProof/>
          </w:rPr>
          <w:t>5</w:t>
        </w:r>
        <w:r>
          <w:rPr>
            <w:noProof/>
          </w:rPr>
          <w:fldChar w:fldCharType="end"/>
        </w:r>
      </w:hyperlink>
    </w:p>
    <w:p w14:paraId="17813AB4" w14:textId="3E2CE095" w:rsidR="001A62A7" w:rsidRDefault="001A62A7">
      <w:pPr>
        <w:pStyle w:val="TM2"/>
        <w:tabs>
          <w:tab w:val="left" w:pos="799"/>
        </w:tabs>
        <w:rPr>
          <w:rFonts w:asciiTheme="minorHAnsi" w:eastAsiaTheme="minorEastAsia" w:hAnsiTheme="minorHAnsi" w:cstheme="minorBidi"/>
          <w:noProof/>
          <w:kern w:val="2"/>
          <w:sz w:val="24"/>
          <w:szCs w:val="24"/>
          <w14:ligatures w14:val="standardContextual"/>
        </w:rPr>
      </w:pPr>
      <w:hyperlink w:anchor="_Toc204789928" w:history="1">
        <w:r w:rsidRPr="00D92F67">
          <w:rPr>
            <w:rStyle w:val="Lienhypertexte"/>
            <w:noProof/>
          </w:rPr>
          <w:t>2.5</w:t>
        </w:r>
        <w:r>
          <w:rPr>
            <w:rFonts w:asciiTheme="minorHAnsi" w:eastAsiaTheme="minorEastAsia" w:hAnsiTheme="minorHAnsi" w:cstheme="minorBidi"/>
            <w:noProof/>
            <w:kern w:val="2"/>
            <w:sz w:val="24"/>
            <w:szCs w:val="24"/>
            <w14:ligatures w14:val="standardContextual"/>
          </w:rPr>
          <w:tab/>
        </w:r>
        <w:r w:rsidRPr="00D92F67">
          <w:rPr>
            <w:rStyle w:val="Lienhypertexte"/>
            <w:noProof/>
          </w:rPr>
          <w:t>Contenu du dossier de consultation</w:t>
        </w:r>
        <w:r>
          <w:rPr>
            <w:noProof/>
          </w:rPr>
          <w:tab/>
        </w:r>
        <w:r>
          <w:rPr>
            <w:noProof/>
          </w:rPr>
          <w:fldChar w:fldCharType="begin"/>
        </w:r>
        <w:r>
          <w:rPr>
            <w:noProof/>
          </w:rPr>
          <w:instrText xml:space="preserve"> PAGEREF _Toc204789928 \h </w:instrText>
        </w:r>
        <w:r>
          <w:rPr>
            <w:noProof/>
          </w:rPr>
        </w:r>
        <w:r>
          <w:rPr>
            <w:noProof/>
          </w:rPr>
          <w:fldChar w:fldCharType="separate"/>
        </w:r>
        <w:r>
          <w:rPr>
            <w:noProof/>
          </w:rPr>
          <w:t>5</w:t>
        </w:r>
        <w:r>
          <w:rPr>
            <w:noProof/>
          </w:rPr>
          <w:fldChar w:fldCharType="end"/>
        </w:r>
      </w:hyperlink>
    </w:p>
    <w:p w14:paraId="53B5B8DF" w14:textId="5E7EE017" w:rsidR="001A62A7" w:rsidRDefault="001A62A7">
      <w:pPr>
        <w:pStyle w:val="TM2"/>
        <w:tabs>
          <w:tab w:val="left" w:pos="799"/>
        </w:tabs>
        <w:rPr>
          <w:rFonts w:asciiTheme="minorHAnsi" w:eastAsiaTheme="minorEastAsia" w:hAnsiTheme="minorHAnsi" w:cstheme="minorBidi"/>
          <w:noProof/>
          <w:kern w:val="2"/>
          <w:sz w:val="24"/>
          <w:szCs w:val="24"/>
          <w14:ligatures w14:val="standardContextual"/>
        </w:rPr>
      </w:pPr>
      <w:hyperlink w:anchor="_Toc204789929" w:history="1">
        <w:r w:rsidRPr="00D92F67">
          <w:rPr>
            <w:rStyle w:val="Lienhypertexte"/>
            <w:noProof/>
          </w:rPr>
          <w:t>2.6</w:t>
        </w:r>
        <w:r>
          <w:rPr>
            <w:rFonts w:asciiTheme="minorHAnsi" w:eastAsiaTheme="minorEastAsia" w:hAnsiTheme="minorHAnsi" w:cstheme="minorBidi"/>
            <w:noProof/>
            <w:kern w:val="2"/>
            <w:sz w:val="24"/>
            <w:szCs w:val="24"/>
            <w14:ligatures w14:val="standardContextual"/>
          </w:rPr>
          <w:tab/>
        </w:r>
        <w:r w:rsidRPr="00D92F67">
          <w:rPr>
            <w:rStyle w:val="Lienhypertexte"/>
            <w:noProof/>
          </w:rPr>
          <w:t>Modification du DCE</w:t>
        </w:r>
        <w:r>
          <w:rPr>
            <w:noProof/>
          </w:rPr>
          <w:tab/>
        </w:r>
        <w:r>
          <w:rPr>
            <w:noProof/>
          </w:rPr>
          <w:fldChar w:fldCharType="begin"/>
        </w:r>
        <w:r>
          <w:rPr>
            <w:noProof/>
          </w:rPr>
          <w:instrText xml:space="preserve"> PAGEREF _Toc204789929 \h </w:instrText>
        </w:r>
        <w:r>
          <w:rPr>
            <w:noProof/>
          </w:rPr>
        </w:r>
        <w:r>
          <w:rPr>
            <w:noProof/>
          </w:rPr>
          <w:fldChar w:fldCharType="separate"/>
        </w:r>
        <w:r>
          <w:rPr>
            <w:noProof/>
          </w:rPr>
          <w:t>6</w:t>
        </w:r>
        <w:r>
          <w:rPr>
            <w:noProof/>
          </w:rPr>
          <w:fldChar w:fldCharType="end"/>
        </w:r>
      </w:hyperlink>
    </w:p>
    <w:p w14:paraId="7D8226AA" w14:textId="64D92697" w:rsidR="001A62A7" w:rsidRDefault="001A62A7">
      <w:pPr>
        <w:pStyle w:val="TM2"/>
        <w:tabs>
          <w:tab w:val="left" w:pos="799"/>
        </w:tabs>
        <w:rPr>
          <w:rFonts w:asciiTheme="minorHAnsi" w:eastAsiaTheme="minorEastAsia" w:hAnsiTheme="minorHAnsi" w:cstheme="minorBidi"/>
          <w:noProof/>
          <w:kern w:val="2"/>
          <w:sz w:val="24"/>
          <w:szCs w:val="24"/>
          <w14:ligatures w14:val="standardContextual"/>
        </w:rPr>
      </w:pPr>
      <w:hyperlink w:anchor="_Toc204789930" w:history="1">
        <w:r w:rsidRPr="00D92F67">
          <w:rPr>
            <w:rStyle w:val="Lienhypertexte"/>
            <w:noProof/>
          </w:rPr>
          <w:t>2.7</w:t>
        </w:r>
        <w:r>
          <w:rPr>
            <w:rFonts w:asciiTheme="minorHAnsi" w:eastAsiaTheme="minorEastAsia" w:hAnsiTheme="minorHAnsi" w:cstheme="minorBidi"/>
            <w:noProof/>
            <w:kern w:val="2"/>
            <w:sz w:val="24"/>
            <w:szCs w:val="24"/>
            <w14:ligatures w14:val="standardContextual"/>
          </w:rPr>
          <w:tab/>
        </w:r>
        <w:r w:rsidRPr="00D92F67">
          <w:rPr>
            <w:rStyle w:val="Lienhypertexte"/>
            <w:noProof/>
          </w:rPr>
          <w:t>Délai de validité des offres</w:t>
        </w:r>
        <w:r>
          <w:rPr>
            <w:noProof/>
          </w:rPr>
          <w:tab/>
        </w:r>
        <w:r>
          <w:rPr>
            <w:noProof/>
          </w:rPr>
          <w:fldChar w:fldCharType="begin"/>
        </w:r>
        <w:r>
          <w:rPr>
            <w:noProof/>
          </w:rPr>
          <w:instrText xml:space="preserve"> PAGEREF _Toc204789930 \h </w:instrText>
        </w:r>
        <w:r>
          <w:rPr>
            <w:noProof/>
          </w:rPr>
        </w:r>
        <w:r>
          <w:rPr>
            <w:noProof/>
          </w:rPr>
          <w:fldChar w:fldCharType="separate"/>
        </w:r>
        <w:r>
          <w:rPr>
            <w:noProof/>
          </w:rPr>
          <w:t>6</w:t>
        </w:r>
        <w:r>
          <w:rPr>
            <w:noProof/>
          </w:rPr>
          <w:fldChar w:fldCharType="end"/>
        </w:r>
      </w:hyperlink>
    </w:p>
    <w:p w14:paraId="051237EE" w14:textId="467893DD" w:rsidR="001A62A7" w:rsidRDefault="001A62A7">
      <w:pPr>
        <w:pStyle w:val="TM1"/>
        <w:tabs>
          <w:tab w:val="left" w:pos="601"/>
        </w:tabs>
        <w:rPr>
          <w:rFonts w:asciiTheme="minorHAnsi" w:eastAsiaTheme="minorEastAsia" w:hAnsiTheme="minorHAnsi" w:cstheme="minorBidi"/>
          <w:b w:val="0"/>
          <w:noProof/>
          <w:kern w:val="2"/>
          <w:szCs w:val="24"/>
          <w14:ligatures w14:val="standardContextual"/>
        </w:rPr>
      </w:pPr>
      <w:hyperlink w:anchor="_Toc204789931" w:history="1">
        <w:r w:rsidRPr="00D92F67">
          <w:rPr>
            <w:rStyle w:val="Lienhypertexte"/>
            <w:noProof/>
          </w:rPr>
          <w:t>3.</w:t>
        </w:r>
        <w:r>
          <w:rPr>
            <w:rFonts w:asciiTheme="minorHAnsi" w:eastAsiaTheme="minorEastAsia" w:hAnsiTheme="minorHAnsi" w:cstheme="minorBidi"/>
            <w:b w:val="0"/>
            <w:noProof/>
            <w:kern w:val="2"/>
            <w:szCs w:val="24"/>
            <w14:ligatures w14:val="standardContextual"/>
          </w:rPr>
          <w:tab/>
        </w:r>
        <w:r w:rsidRPr="00D92F67">
          <w:rPr>
            <w:rStyle w:val="Lienhypertexte"/>
            <w:noProof/>
          </w:rPr>
          <w:t>Durée de l’accord-cadre – Reconduction – Délais d’exécution</w:t>
        </w:r>
        <w:r>
          <w:rPr>
            <w:noProof/>
          </w:rPr>
          <w:tab/>
        </w:r>
        <w:r>
          <w:rPr>
            <w:noProof/>
          </w:rPr>
          <w:fldChar w:fldCharType="begin"/>
        </w:r>
        <w:r>
          <w:rPr>
            <w:noProof/>
          </w:rPr>
          <w:instrText xml:space="preserve"> PAGEREF _Toc204789931 \h </w:instrText>
        </w:r>
        <w:r>
          <w:rPr>
            <w:noProof/>
          </w:rPr>
        </w:r>
        <w:r>
          <w:rPr>
            <w:noProof/>
          </w:rPr>
          <w:fldChar w:fldCharType="separate"/>
        </w:r>
        <w:r>
          <w:rPr>
            <w:noProof/>
          </w:rPr>
          <w:t>6</w:t>
        </w:r>
        <w:r>
          <w:rPr>
            <w:noProof/>
          </w:rPr>
          <w:fldChar w:fldCharType="end"/>
        </w:r>
      </w:hyperlink>
    </w:p>
    <w:p w14:paraId="26F855CB" w14:textId="1767160B" w:rsidR="001A62A7" w:rsidRDefault="001A62A7">
      <w:pPr>
        <w:pStyle w:val="TM1"/>
        <w:tabs>
          <w:tab w:val="left" w:pos="601"/>
        </w:tabs>
        <w:rPr>
          <w:rFonts w:asciiTheme="minorHAnsi" w:eastAsiaTheme="minorEastAsia" w:hAnsiTheme="minorHAnsi" w:cstheme="minorBidi"/>
          <w:b w:val="0"/>
          <w:noProof/>
          <w:kern w:val="2"/>
          <w:szCs w:val="24"/>
          <w14:ligatures w14:val="standardContextual"/>
        </w:rPr>
      </w:pPr>
      <w:hyperlink w:anchor="_Toc204789932" w:history="1">
        <w:r w:rsidRPr="00D92F67">
          <w:rPr>
            <w:rStyle w:val="Lienhypertexte"/>
            <w:noProof/>
          </w:rPr>
          <w:t>4.</w:t>
        </w:r>
        <w:r>
          <w:rPr>
            <w:rFonts w:asciiTheme="minorHAnsi" w:eastAsiaTheme="minorEastAsia" w:hAnsiTheme="minorHAnsi" w:cstheme="minorBidi"/>
            <w:b w:val="0"/>
            <w:noProof/>
            <w:kern w:val="2"/>
            <w:szCs w:val="24"/>
            <w14:ligatures w14:val="standardContextual"/>
          </w:rPr>
          <w:tab/>
        </w:r>
        <w:r w:rsidRPr="00D92F67">
          <w:rPr>
            <w:rStyle w:val="Lienhypertexte"/>
            <w:noProof/>
          </w:rPr>
          <w:t>Retrait du dossier de consultation</w:t>
        </w:r>
        <w:r>
          <w:rPr>
            <w:noProof/>
          </w:rPr>
          <w:tab/>
        </w:r>
        <w:r>
          <w:rPr>
            <w:noProof/>
          </w:rPr>
          <w:fldChar w:fldCharType="begin"/>
        </w:r>
        <w:r>
          <w:rPr>
            <w:noProof/>
          </w:rPr>
          <w:instrText xml:space="preserve"> PAGEREF _Toc204789932 \h </w:instrText>
        </w:r>
        <w:r>
          <w:rPr>
            <w:noProof/>
          </w:rPr>
        </w:r>
        <w:r>
          <w:rPr>
            <w:noProof/>
          </w:rPr>
          <w:fldChar w:fldCharType="separate"/>
        </w:r>
        <w:r>
          <w:rPr>
            <w:noProof/>
          </w:rPr>
          <w:t>6</w:t>
        </w:r>
        <w:r>
          <w:rPr>
            <w:noProof/>
          </w:rPr>
          <w:fldChar w:fldCharType="end"/>
        </w:r>
      </w:hyperlink>
    </w:p>
    <w:p w14:paraId="2000064B" w14:textId="36C02014" w:rsidR="001A62A7" w:rsidRDefault="001A62A7">
      <w:pPr>
        <w:pStyle w:val="TM1"/>
        <w:tabs>
          <w:tab w:val="left" w:pos="601"/>
        </w:tabs>
        <w:rPr>
          <w:rFonts w:asciiTheme="minorHAnsi" w:eastAsiaTheme="minorEastAsia" w:hAnsiTheme="minorHAnsi" w:cstheme="minorBidi"/>
          <w:b w:val="0"/>
          <w:noProof/>
          <w:kern w:val="2"/>
          <w:szCs w:val="24"/>
          <w14:ligatures w14:val="standardContextual"/>
        </w:rPr>
      </w:pPr>
      <w:hyperlink w:anchor="_Toc204789933" w:history="1">
        <w:r w:rsidRPr="00D92F67">
          <w:rPr>
            <w:rStyle w:val="Lienhypertexte"/>
            <w:noProof/>
          </w:rPr>
          <w:t>5.</w:t>
        </w:r>
        <w:r>
          <w:rPr>
            <w:rFonts w:asciiTheme="minorHAnsi" w:eastAsiaTheme="minorEastAsia" w:hAnsiTheme="minorHAnsi" w:cstheme="minorBidi"/>
            <w:b w:val="0"/>
            <w:noProof/>
            <w:kern w:val="2"/>
            <w:szCs w:val="24"/>
            <w14:ligatures w14:val="standardContextual"/>
          </w:rPr>
          <w:tab/>
        </w:r>
        <w:r w:rsidRPr="00D92F67">
          <w:rPr>
            <w:rStyle w:val="Lienhypertexte"/>
            <w:noProof/>
          </w:rPr>
          <w:t>Dispositions spécifiques à la phase Candidature</w:t>
        </w:r>
        <w:r>
          <w:rPr>
            <w:noProof/>
          </w:rPr>
          <w:tab/>
        </w:r>
        <w:r>
          <w:rPr>
            <w:noProof/>
          </w:rPr>
          <w:fldChar w:fldCharType="begin"/>
        </w:r>
        <w:r>
          <w:rPr>
            <w:noProof/>
          </w:rPr>
          <w:instrText xml:space="preserve"> PAGEREF _Toc204789933 \h </w:instrText>
        </w:r>
        <w:r>
          <w:rPr>
            <w:noProof/>
          </w:rPr>
        </w:r>
        <w:r>
          <w:rPr>
            <w:noProof/>
          </w:rPr>
          <w:fldChar w:fldCharType="separate"/>
        </w:r>
        <w:r>
          <w:rPr>
            <w:noProof/>
          </w:rPr>
          <w:t>7</w:t>
        </w:r>
        <w:r>
          <w:rPr>
            <w:noProof/>
          </w:rPr>
          <w:fldChar w:fldCharType="end"/>
        </w:r>
      </w:hyperlink>
    </w:p>
    <w:p w14:paraId="3BFE31E7" w14:textId="553657DC" w:rsidR="001A62A7" w:rsidRDefault="001A62A7">
      <w:pPr>
        <w:pStyle w:val="TM2"/>
        <w:tabs>
          <w:tab w:val="left" w:pos="799"/>
        </w:tabs>
        <w:rPr>
          <w:rFonts w:asciiTheme="minorHAnsi" w:eastAsiaTheme="minorEastAsia" w:hAnsiTheme="minorHAnsi" w:cstheme="minorBidi"/>
          <w:noProof/>
          <w:kern w:val="2"/>
          <w:sz w:val="24"/>
          <w:szCs w:val="24"/>
          <w14:ligatures w14:val="standardContextual"/>
        </w:rPr>
      </w:pPr>
      <w:hyperlink w:anchor="_Toc204789934" w:history="1">
        <w:r w:rsidRPr="00D92F67">
          <w:rPr>
            <w:rStyle w:val="Lienhypertexte"/>
            <w:noProof/>
          </w:rPr>
          <w:t>5.1</w:t>
        </w:r>
        <w:r>
          <w:rPr>
            <w:rFonts w:asciiTheme="minorHAnsi" w:eastAsiaTheme="minorEastAsia" w:hAnsiTheme="minorHAnsi" w:cstheme="minorBidi"/>
            <w:noProof/>
            <w:kern w:val="2"/>
            <w:sz w:val="24"/>
            <w:szCs w:val="24"/>
            <w14:ligatures w14:val="standardContextual"/>
          </w:rPr>
          <w:tab/>
        </w:r>
        <w:r w:rsidRPr="00D92F67">
          <w:rPr>
            <w:rStyle w:val="Lienhypertexte"/>
            <w:noProof/>
          </w:rPr>
          <w:t>Éléments nécessaires à la sélection des candidatures</w:t>
        </w:r>
        <w:r>
          <w:rPr>
            <w:noProof/>
          </w:rPr>
          <w:tab/>
        </w:r>
        <w:r>
          <w:rPr>
            <w:noProof/>
          </w:rPr>
          <w:fldChar w:fldCharType="begin"/>
        </w:r>
        <w:r>
          <w:rPr>
            <w:noProof/>
          </w:rPr>
          <w:instrText xml:space="preserve"> PAGEREF _Toc204789934 \h </w:instrText>
        </w:r>
        <w:r>
          <w:rPr>
            <w:noProof/>
          </w:rPr>
        </w:r>
        <w:r>
          <w:rPr>
            <w:noProof/>
          </w:rPr>
          <w:fldChar w:fldCharType="separate"/>
        </w:r>
        <w:r>
          <w:rPr>
            <w:noProof/>
          </w:rPr>
          <w:t>7</w:t>
        </w:r>
        <w:r>
          <w:rPr>
            <w:noProof/>
          </w:rPr>
          <w:fldChar w:fldCharType="end"/>
        </w:r>
      </w:hyperlink>
    </w:p>
    <w:p w14:paraId="21CD4FC6" w14:textId="3EC94ABB" w:rsidR="001A62A7" w:rsidRDefault="001A62A7">
      <w:pPr>
        <w:pStyle w:val="TM2"/>
        <w:tabs>
          <w:tab w:val="left" w:pos="799"/>
        </w:tabs>
        <w:rPr>
          <w:rFonts w:asciiTheme="minorHAnsi" w:eastAsiaTheme="minorEastAsia" w:hAnsiTheme="minorHAnsi" w:cstheme="minorBidi"/>
          <w:noProof/>
          <w:kern w:val="2"/>
          <w:sz w:val="24"/>
          <w:szCs w:val="24"/>
          <w14:ligatures w14:val="standardContextual"/>
        </w:rPr>
      </w:pPr>
      <w:hyperlink w:anchor="_Toc204789935" w:history="1">
        <w:r w:rsidRPr="00D92F67">
          <w:rPr>
            <w:rStyle w:val="Lienhypertexte"/>
            <w:noProof/>
          </w:rPr>
          <w:t>5.2</w:t>
        </w:r>
        <w:r>
          <w:rPr>
            <w:rFonts w:asciiTheme="minorHAnsi" w:eastAsiaTheme="minorEastAsia" w:hAnsiTheme="minorHAnsi" w:cstheme="minorBidi"/>
            <w:noProof/>
            <w:kern w:val="2"/>
            <w:sz w:val="24"/>
            <w:szCs w:val="24"/>
            <w14:ligatures w14:val="standardContextual"/>
          </w:rPr>
          <w:tab/>
        </w:r>
        <w:r w:rsidRPr="00D92F67">
          <w:rPr>
            <w:rStyle w:val="Lienhypertexte"/>
            <w:noProof/>
          </w:rPr>
          <w:t>Jugement des candidatures</w:t>
        </w:r>
        <w:r>
          <w:rPr>
            <w:noProof/>
          </w:rPr>
          <w:tab/>
        </w:r>
        <w:r>
          <w:rPr>
            <w:noProof/>
          </w:rPr>
          <w:fldChar w:fldCharType="begin"/>
        </w:r>
        <w:r>
          <w:rPr>
            <w:noProof/>
          </w:rPr>
          <w:instrText xml:space="preserve"> PAGEREF _Toc204789935 \h </w:instrText>
        </w:r>
        <w:r>
          <w:rPr>
            <w:noProof/>
          </w:rPr>
        </w:r>
        <w:r>
          <w:rPr>
            <w:noProof/>
          </w:rPr>
          <w:fldChar w:fldCharType="separate"/>
        </w:r>
        <w:r>
          <w:rPr>
            <w:noProof/>
          </w:rPr>
          <w:t>8</w:t>
        </w:r>
        <w:r>
          <w:rPr>
            <w:noProof/>
          </w:rPr>
          <w:fldChar w:fldCharType="end"/>
        </w:r>
      </w:hyperlink>
    </w:p>
    <w:p w14:paraId="5C7A2523" w14:textId="67F6AB07" w:rsidR="001A62A7" w:rsidRDefault="001A62A7">
      <w:pPr>
        <w:pStyle w:val="TM1"/>
        <w:tabs>
          <w:tab w:val="left" w:pos="601"/>
        </w:tabs>
        <w:rPr>
          <w:rFonts w:asciiTheme="minorHAnsi" w:eastAsiaTheme="minorEastAsia" w:hAnsiTheme="minorHAnsi" w:cstheme="minorBidi"/>
          <w:b w:val="0"/>
          <w:noProof/>
          <w:kern w:val="2"/>
          <w:szCs w:val="24"/>
          <w14:ligatures w14:val="standardContextual"/>
        </w:rPr>
      </w:pPr>
      <w:hyperlink w:anchor="_Toc204789936" w:history="1">
        <w:r w:rsidRPr="00D92F67">
          <w:rPr>
            <w:rStyle w:val="Lienhypertexte"/>
            <w:noProof/>
          </w:rPr>
          <w:t>6.</w:t>
        </w:r>
        <w:r>
          <w:rPr>
            <w:rFonts w:asciiTheme="minorHAnsi" w:eastAsiaTheme="minorEastAsia" w:hAnsiTheme="minorHAnsi" w:cstheme="minorBidi"/>
            <w:b w:val="0"/>
            <w:noProof/>
            <w:kern w:val="2"/>
            <w:szCs w:val="24"/>
            <w14:ligatures w14:val="standardContextual"/>
          </w:rPr>
          <w:tab/>
        </w:r>
        <w:r w:rsidRPr="00D92F67">
          <w:rPr>
            <w:rStyle w:val="Lienhypertexte"/>
            <w:noProof/>
          </w:rPr>
          <w:t>Dispositions spécifiques à la phase offre</w:t>
        </w:r>
        <w:r>
          <w:rPr>
            <w:noProof/>
          </w:rPr>
          <w:tab/>
        </w:r>
        <w:r>
          <w:rPr>
            <w:noProof/>
          </w:rPr>
          <w:fldChar w:fldCharType="begin"/>
        </w:r>
        <w:r>
          <w:rPr>
            <w:noProof/>
          </w:rPr>
          <w:instrText xml:space="preserve"> PAGEREF _Toc204789936 \h </w:instrText>
        </w:r>
        <w:r>
          <w:rPr>
            <w:noProof/>
          </w:rPr>
        </w:r>
        <w:r>
          <w:rPr>
            <w:noProof/>
          </w:rPr>
          <w:fldChar w:fldCharType="separate"/>
        </w:r>
        <w:r>
          <w:rPr>
            <w:noProof/>
          </w:rPr>
          <w:t>9</w:t>
        </w:r>
        <w:r>
          <w:rPr>
            <w:noProof/>
          </w:rPr>
          <w:fldChar w:fldCharType="end"/>
        </w:r>
      </w:hyperlink>
    </w:p>
    <w:p w14:paraId="54EF911F" w14:textId="0F05564D" w:rsidR="001A62A7" w:rsidRDefault="001A62A7">
      <w:pPr>
        <w:pStyle w:val="TM2"/>
        <w:tabs>
          <w:tab w:val="left" w:pos="799"/>
        </w:tabs>
        <w:rPr>
          <w:rFonts w:asciiTheme="minorHAnsi" w:eastAsiaTheme="minorEastAsia" w:hAnsiTheme="minorHAnsi" w:cstheme="minorBidi"/>
          <w:noProof/>
          <w:kern w:val="2"/>
          <w:sz w:val="24"/>
          <w:szCs w:val="24"/>
          <w14:ligatures w14:val="standardContextual"/>
        </w:rPr>
      </w:pPr>
      <w:hyperlink w:anchor="_Toc204789937" w:history="1">
        <w:r w:rsidRPr="00D92F67">
          <w:rPr>
            <w:rStyle w:val="Lienhypertexte"/>
            <w:noProof/>
          </w:rPr>
          <w:t>6.1</w:t>
        </w:r>
        <w:r>
          <w:rPr>
            <w:rFonts w:asciiTheme="minorHAnsi" w:eastAsiaTheme="minorEastAsia" w:hAnsiTheme="minorHAnsi" w:cstheme="minorBidi"/>
            <w:noProof/>
            <w:kern w:val="2"/>
            <w:sz w:val="24"/>
            <w:szCs w:val="24"/>
            <w14:ligatures w14:val="standardContextual"/>
          </w:rPr>
          <w:tab/>
        </w:r>
        <w:r w:rsidRPr="00D92F67">
          <w:rPr>
            <w:rStyle w:val="Lienhypertexte"/>
            <w:noProof/>
          </w:rPr>
          <w:t>Éléments nécessaires au choix de l’offre (Indiquer clairement le choix du lot sur tous vos documents)</w:t>
        </w:r>
        <w:r>
          <w:rPr>
            <w:noProof/>
          </w:rPr>
          <w:tab/>
        </w:r>
        <w:r>
          <w:rPr>
            <w:noProof/>
          </w:rPr>
          <w:fldChar w:fldCharType="begin"/>
        </w:r>
        <w:r>
          <w:rPr>
            <w:noProof/>
          </w:rPr>
          <w:instrText xml:space="preserve"> PAGEREF _Toc204789937 \h </w:instrText>
        </w:r>
        <w:r>
          <w:rPr>
            <w:noProof/>
          </w:rPr>
        </w:r>
        <w:r>
          <w:rPr>
            <w:noProof/>
          </w:rPr>
          <w:fldChar w:fldCharType="separate"/>
        </w:r>
        <w:r>
          <w:rPr>
            <w:noProof/>
          </w:rPr>
          <w:t>9</w:t>
        </w:r>
        <w:r>
          <w:rPr>
            <w:noProof/>
          </w:rPr>
          <w:fldChar w:fldCharType="end"/>
        </w:r>
      </w:hyperlink>
    </w:p>
    <w:p w14:paraId="059F3133" w14:textId="4256BF75" w:rsidR="001A62A7" w:rsidRDefault="001A62A7">
      <w:pPr>
        <w:pStyle w:val="TM2"/>
        <w:tabs>
          <w:tab w:val="left" w:pos="799"/>
        </w:tabs>
        <w:rPr>
          <w:rFonts w:asciiTheme="minorHAnsi" w:eastAsiaTheme="minorEastAsia" w:hAnsiTheme="minorHAnsi" w:cstheme="minorBidi"/>
          <w:noProof/>
          <w:kern w:val="2"/>
          <w:sz w:val="24"/>
          <w:szCs w:val="24"/>
          <w14:ligatures w14:val="standardContextual"/>
        </w:rPr>
      </w:pPr>
      <w:hyperlink w:anchor="_Toc204789938" w:history="1">
        <w:r w:rsidRPr="00D92F67">
          <w:rPr>
            <w:rStyle w:val="Lienhypertexte"/>
            <w:noProof/>
          </w:rPr>
          <w:t>6.2</w:t>
        </w:r>
        <w:r>
          <w:rPr>
            <w:rFonts w:asciiTheme="minorHAnsi" w:eastAsiaTheme="minorEastAsia" w:hAnsiTheme="minorHAnsi" w:cstheme="minorBidi"/>
            <w:noProof/>
            <w:kern w:val="2"/>
            <w:sz w:val="24"/>
            <w:szCs w:val="24"/>
            <w14:ligatures w14:val="standardContextual"/>
          </w:rPr>
          <w:tab/>
        </w:r>
        <w:r w:rsidRPr="00D92F67">
          <w:rPr>
            <w:rStyle w:val="Lienhypertexte"/>
            <w:noProof/>
          </w:rPr>
          <w:t>Jugement des offres</w:t>
        </w:r>
        <w:r>
          <w:rPr>
            <w:noProof/>
          </w:rPr>
          <w:tab/>
        </w:r>
        <w:r>
          <w:rPr>
            <w:noProof/>
          </w:rPr>
          <w:fldChar w:fldCharType="begin"/>
        </w:r>
        <w:r>
          <w:rPr>
            <w:noProof/>
          </w:rPr>
          <w:instrText xml:space="preserve"> PAGEREF _Toc204789938 \h </w:instrText>
        </w:r>
        <w:r>
          <w:rPr>
            <w:noProof/>
          </w:rPr>
        </w:r>
        <w:r>
          <w:rPr>
            <w:noProof/>
          </w:rPr>
          <w:fldChar w:fldCharType="separate"/>
        </w:r>
        <w:r>
          <w:rPr>
            <w:noProof/>
          </w:rPr>
          <w:t>11</w:t>
        </w:r>
        <w:r>
          <w:rPr>
            <w:noProof/>
          </w:rPr>
          <w:fldChar w:fldCharType="end"/>
        </w:r>
      </w:hyperlink>
    </w:p>
    <w:p w14:paraId="472F2A53" w14:textId="0EF7C16A" w:rsidR="001A62A7" w:rsidRDefault="001A62A7">
      <w:pPr>
        <w:pStyle w:val="TM2"/>
        <w:tabs>
          <w:tab w:val="left" w:pos="799"/>
        </w:tabs>
        <w:rPr>
          <w:rFonts w:asciiTheme="minorHAnsi" w:eastAsiaTheme="minorEastAsia" w:hAnsiTheme="minorHAnsi" w:cstheme="minorBidi"/>
          <w:noProof/>
          <w:kern w:val="2"/>
          <w:sz w:val="24"/>
          <w:szCs w:val="24"/>
          <w14:ligatures w14:val="standardContextual"/>
        </w:rPr>
      </w:pPr>
      <w:hyperlink w:anchor="_Toc204789939" w:history="1">
        <w:r w:rsidRPr="00D92F67">
          <w:rPr>
            <w:rStyle w:val="Lienhypertexte"/>
            <w:noProof/>
          </w:rPr>
          <w:t>6.3</w:t>
        </w:r>
        <w:r>
          <w:rPr>
            <w:rFonts w:asciiTheme="minorHAnsi" w:eastAsiaTheme="minorEastAsia" w:hAnsiTheme="minorHAnsi" w:cstheme="minorBidi"/>
            <w:noProof/>
            <w:kern w:val="2"/>
            <w:sz w:val="24"/>
            <w:szCs w:val="24"/>
            <w14:ligatures w14:val="standardContextual"/>
          </w:rPr>
          <w:tab/>
        </w:r>
        <w:r w:rsidRPr="00D92F67">
          <w:rPr>
            <w:rStyle w:val="Lienhypertexte"/>
            <w:noProof/>
          </w:rPr>
          <w:t>Attribution de l’accord-cadre</w:t>
        </w:r>
        <w:r>
          <w:rPr>
            <w:noProof/>
          </w:rPr>
          <w:tab/>
        </w:r>
        <w:r>
          <w:rPr>
            <w:noProof/>
          </w:rPr>
          <w:fldChar w:fldCharType="begin"/>
        </w:r>
        <w:r>
          <w:rPr>
            <w:noProof/>
          </w:rPr>
          <w:instrText xml:space="preserve"> PAGEREF _Toc204789939 \h </w:instrText>
        </w:r>
        <w:r>
          <w:rPr>
            <w:noProof/>
          </w:rPr>
        </w:r>
        <w:r>
          <w:rPr>
            <w:noProof/>
          </w:rPr>
          <w:fldChar w:fldCharType="separate"/>
        </w:r>
        <w:r>
          <w:rPr>
            <w:noProof/>
          </w:rPr>
          <w:t>13</w:t>
        </w:r>
        <w:r>
          <w:rPr>
            <w:noProof/>
          </w:rPr>
          <w:fldChar w:fldCharType="end"/>
        </w:r>
      </w:hyperlink>
    </w:p>
    <w:p w14:paraId="77777FDA" w14:textId="3AB6AFDF" w:rsidR="001A62A7" w:rsidRDefault="001A62A7">
      <w:pPr>
        <w:pStyle w:val="TM1"/>
        <w:tabs>
          <w:tab w:val="left" w:pos="601"/>
        </w:tabs>
        <w:rPr>
          <w:rFonts w:asciiTheme="minorHAnsi" w:eastAsiaTheme="minorEastAsia" w:hAnsiTheme="minorHAnsi" w:cstheme="minorBidi"/>
          <w:b w:val="0"/>
          <w:noProof/>
          <w:kern w:val="2"/>
          <w:szCs w:val="24"/>
          <w14:ligatures w14:val="standardContextual"/>
        </w:rPr>
      </w:pPr>
      <w:hyperlink w:anchor="_Toc204789940" w:history="1">
        <w:r w:rsidRPr="00D92F67">
          <w:rPr>
            <w:rStyle w:val="Lienhypertexte"/>
            <w:noProof/>
          </w:rPr>
          <w:t>7.</w:t>
        </w:r>
        <w:r>
          <w:rPr>
            <w:rFonts w:asciiTheme="minorHAnsi" w:eastAsiaTheme="minorEastAsia" w:hAnsiTheme="minorHAnsi" w:cstheme="minorBidi"/>
            <w:b w:val="0"/>
            <w:noProof/>
            <w:kern w:val="2"/>
            <w:szCs w:val="24"/>
            <w14:ligatures w14:val="standardContextual"/>
          </w:rPr>
          <w:tab/>
        </w:r>
        <w:r w:rsidRPr="00D92F67">
          <w:rPr>
            <w:rStyle w:val="Lienhypertexte"/>
            <w:noProof/>
          </w:rPr>
          <w:t>Conditions d’envoi et de remise des candidatures et des offres</w:t>
        </w:r>
        <w:r>
          <w:rPr>
            <w:noProof/>
          </w:rPr>
          <w:tab/>
        </w:r>
        <w:r>
          <w:rPr>
            <w:noProof/>
          </w:rPr>
          <w:fldChar w:fldCharType="begin"/>
        </w:r>
        <w:r>
          <w:rPr>
            <w:noProof/>
          </w:rPr>
          <w:instrText xml:space="preserve"> PAGEREF _Toc204789940 \h </w:instrText>
        </w:r>
        <w:r>
          <w:rPr>
            <w:noProof/>
          </w:rPr>
        </w:r>
        <w:r>
          <w:rPr>
            <w:noProof/>
          </w:rPr>
          <w:fldChar w:fldCharType="separate"/>
        </w:r>
        <w:r>
          <w:rPr>
            <w:noProof/>
          </w:rPr>
          <w:t>13</w:t>
        </w:r>
        <w:r>
          <w:rPr>
            <w:noProof/>
          </w:rPr>
          <w:fldChar w:fldCharType="end"/>
        </w:r>
      </w:hyperlink>
    </w:p>
    <w:p w14:paraId="3E70B5E6" w14:textId="1F7B6FB3" w:rsidR="001A62A7" w:rsidRDefault="001A62A7">
      <w:pPr>
        <w:pStyle w:val="TM1"/>
        <w:tabs>
          <w:tab w:val="left" w:pos="601"/>
        </w:tabs>
        <w:rPr>
          <w:rFonts w:asciiTheme="minorHAnsi" w:eastAsiaTheme="minorEastAsia" w:hAnsiTheme="minorHAnsi" w:cstheme="minorBidi"/>
          <w:b w:val="0"/>
          <w:noProof/>
          <w:kern w:val="2"/>
          <w:szCs w:val="24"/>
          <w14:ligatures w14:val="standardContextual"/>
        </w:rPr>
      </w:pPr>
      <w:hyperlink w:anchor="_Toc204789941" w:history="1">
        <w:r w:rsidRPr="00D92F67">
          <w:rPr>
            <w:rStyle w:val="Lienhypertexte"/>
            <w:noProof/>
          </w:rPr>
          <w:t>8.</w:t>
        </w:r>
        <w:r>
          <w:rPr>
            <w:rFonts w:asciiTheme="minorHAnsi" w:eastAsiaTheme="minorEastAsia" w:hAnsiTheme="minorHAnsi" w:cstheme="minorBidi"/>
            <w:b w:val="0"/>
            <w:noProof/>
            <w:kern w:val="2"/>
            <w:szCs w:val="24"/>
            <w14:ligatures w14:val="standardContextual"/>
          </w:rPr>
          <w:tab/>
        </w:r>
        <w:r w:rsidRPr="00D92F67">
          <w:rPr>
            <w:rStyle w:val="Lienhypertexte"/>
            <w:noProof/>
          </w:rPr>
          <w:t>Renseignements complémentaires</w:t>
        </w:r>
        <w:r>
          <w:rPr>
            <w:noProof/>
          </w:rPr>
          <w:tab/>
        </w:r>
        <w:r>
          <w:rPr>
            <w:noProof/>
          </w:rPr>
          <w:fldChar w:fldCharType="begin"/>
        </w:r>
        <w:r>
          <w:rPr>
            <w:noProof/>
          </w:rPr>
          <w:instrText xml:space="preserve"> PAGEREF _Toc204789941 \h </w:instrText>
        </w:r>
        <w:r>
          <w:rPr>
            <w:noProof/>
          </w:rPr>
        </w:r>
        <w:r>
          <w:rPr>
            <w:noProof/>
          </w:rPr>
          <w:fldChar w:fldCharType="separate"/>
        </w:r>
        <w:r>
          <w:rPr>
            <w:noProof/>
          </w:rPr>
          <w:t>15</w:t>
        </w:r>
        <w:r>
          <w:rPr>
            <w:noProof/>
          </w:rPr>
          <w:fldChar w:fldCharType="end"/>
        </w:r>
      </w:hyperlink>
    </w:p>
    <w:p w14:paraId="04FEFB05" w14:textId="3DB0C469" w:rsidR="001A62A7" w:rsidRDefault="001A62A7">
      <w:pPr>
        <w:pStyle w:val="TM1"/>
        <w:tabs>
          <w:tab w:val="left" w:pos="601"/>
        </w:tabs>
        <w:rPr>
          <w:rFonts w:asciiTheme="minorHAnsi" w:eastAsiaTheme="minorEastAsia" w:hAnsiTheme="minorHAnsi" w:cstheme="minorBidi"/>
          <w:b w:val="0"/>
          <w:noProof/>
          <w:kern w:val="2"/>
          <w:szCs w:val="24"/>
          <w14:ligatures w14:val="standardContextual"/>
        </w:rPr>
      </w:pPr>
      <w:hyperlink w:anchor="_Toc204789942" w:history="1">
        <w:r w:rsidRPr="00D92F67">
          <w:rPr>
            <w:rStyle w:val="Lienhypertexte"/>
            <w:noProof/>
          </w:rPr>
          <w:t>9.</w:t>
        </w:r>
        <w:r>
          <w:rPr>
            <w:rFonts w:asciiTheme="minorHAnsi" w:eastAsiaTheme="minorEastAsia" w:hAnsiTheme="minorHAnsi" w:cstheme="minorBidi"/>
            <w:b w:val="0"/>
            <w:noProof/>
            <w:kern w:val="2"/>
            <w:szCs w:val="24"/>
            <w14:ligatures w14:val="standardContextual"/>
          </w:rPr>
          <w:tab/>
        </w:r>
        <w:r w:rsidRPr="00D92F67">
          <w:rPr>
            <w:rStyle w:val="Lienhypertexte"/>
            <w:noProof/>
          </w:rPr>
          <w:t>Annexe : Déclaration sur l'honneur</w:t>
        </w:r>
        <w:r>
          <w:rPr>
            <w:noProof/>
          </w:rPr>
          <w:tab/>
        </w:r>
        <w:r>
          <w:rPr>
            <w:noProof/>
          </w:rPr>
          <w:fldChar w:fldCharType="begin"/>
        </w:r>
        <w:r>
          <w:rPr>
            <w:noProof/>
          </w:rPr>
          <w:instrText xml:space="preserve"> PAGEREF _Toc204789942 \h </w:instrText>
        </w:r>
        <w:r>
          <w:rPr>
            <w:noProof/>
          </w:rPr>
        </w:r>
        <w:r>
          <w:rPr>
            <w:noProof/>
          </w:rPr>
          <w:fldChar w:fldCharType="separate"/>
        </w:r>
        <w:r>
          <w:rPr>
            <w:noProof/>
          </w:rPr>
          <w:t>16</w:t>
        </w:r>
        <w:r>
          <w:rPr>
            <w:noProof/>
          </w:rPr>
          <w:fldChar w:fldCharType="end"/>
        </w:r>
      </w:hyperlink>
    </w:p>
    <w:p w14:paraId="44F0A6B7" w14:textId="6A66F7DC" w:rsidR="001A62A7" w:rsidRDefault="001A62A7">
      <w:pPr>
        <w:pStyle w:val="TM1"/>
        <w:tabs>
          <w:tab w:val="left" w:pos="601"/>
        </w:tabs>
        <w:rPr>
          <w:rFonts w:asciiTheme="minorHAnsi" w:eastAsiaTheme="minorEastAsia" w:hAnsiTheme="minorHAnsi" w:cstheme="minorBidi"/>
          <w:b w:val="0"/>
          <w:noProof/>
          <w:kern w:val="2"/>
          <w:szCs w:val="24"/>
          <w14:ligatures w14:val="standardContextual"/>
        </w:rPr>
      </w:pPr>
      <w:hyperlink w:anchor="_Toc204789943" w:history="1">
        <w:r w:rsidRPr="00D92F67">
          <w:rPr>
            <w:rStyle w:val="Lienhypertexte"/>
            <w:noProof/>
          </w:rPr>
          <w:t>10.</w:t>
        </w:r>
        <w:r>
          <w:rPr>
            <w:rFonts w:asciiTheme="minorHAnsi" w:eastAsiaTheme="minorEastAsia" w:hAnsiTheme="minorHAnsi" w:cstheme="minorBidi"/>
            <w:b w:val="0"/>
            <w:noProof/>
            <w:kern w:val="2"/>
            <w:szCs w:val="24"/>
            <w14:ligatures w14:val="standardContextual"/>
          </w:rPr>
          <w:tab/>
        </w:r>
        <w:r w:rsidRPr="00D92F67">
          <w:rPr>
            <w:rStyle w:val="Lienhypertexte"/>
            <w:noProof/>
          </w:rPr>
          <w:t>Annexe : Cadre de réponse imposé pour la phase Offre</w:t>
        </w:r>
        <w:r>
          <w:rPr>
            <w:noProof/>
          </w:rPr>
          <w:tab/>
        </w:r>
        <w:r>
          <w:rPr>
            <w:noProof/>
          </w:rPr>
          <w:fldChar w:fldCharType="begin"/>
        </w:r>
        <w:r>
          <w:rPr>
            <w:noProof/>
          </w:rPr>
          <w:instrText xml:space="preserve"> PAGEREF _Toc204789943 \h </w:instrText>
        </w:r>
        <w:r>
          <w:rPr>
            <w:noProof/>
          </w:rPr>
        </w:r>
        <w:r>
          <w:rPr>
            <w:noProof/>
          </w:rPr>
          <w:fldChar w:fldCharType="separate"/>
        </w:r>
        <w:r>
          <w:rPr>
            <w:noProof/>
          </w:rPr>
          <w:t>17</w:t>
        </w:r>
        <w:r>
          <w:rPr>
            <w:noProof/>
          </w:rPr>
          <w:fldChar w:fldCharType="end"/>
        </w:r>
      </w:hyperlink>
    </w:p>
    <w:p w14:paraId="5F388149" w14:textId="3885D491" w:rsidR="001A62A7" w:rsidRDefault="001A62A7">
      <w:pPr>
        <w:pStyle w:val="TM1"/>
        <w:tabs>
          <w:tab w:val="left" w:pos="601"/>
        </w:tabs>
        <w:rPr>
          <w:rFonts w:asciiTheme="minorHAnsi" w:eastAsiaTheme="minorEastAsia" w:hAnsiTheme="minorHAnsi" w:cstheme="minorBidi"/>
          <w:b w:val="0"/>
          <w:noProof/>
          <w:kern w:val="2"/>
          <w:szCs w:val="24"/>
          <w14:ligatures w14:val="standardContextual"/>
        </w:rPr>
      </w:pPr>
      <w:hyperlink w:anchor="_Toc204789944" w:history="1">
        <w:r w:rsidRPr="00D92F67">
          <w:rPr>
            <w:rStyle w:val="Lienhypertexte"/>
            <w:noProof/>
          </w:rPr>
          <w:t>11.</w:t>
        </w:r>
        <w:r>
          <w:rPr>
            <w:rFonts w:asciiTheme="minorHAnsi" w:eastAsiaTheme="minorEastAsia" w:hAnsiTheme="minorHAnsi" w:cstheme="minorBidi"/>
            <w:b w:val="0"/>
            <w:noProof/>
            <w:kern w:val="2"/>
            <w:szCs w:val="24"/>
            <w14:ligatures w14:val="standardContextual"/>
          </w:rPr>
          <w:tab/>
        </w:r>
        <w:r w:rsidRPr="00D92F67">
          <w:rPr>
            <w:rStyle w:val="Lienhypertexte"/>
            <w:noProof/>
          </w:rPr>
          <w:t>Annexe : Exigences relatives au certificat de signature</w:t>
        </w:r>
        <w:r>
          <w:rPr>
            <w:noProof/>
          </w:rPr>
          <w:tab/>
        </w:r>
        <w:r>
          <w:rPr>
            <w:noProof/>
          </w:rPr>
          <w:fldChar w:fldCharType="begin"/>
        </w:r>
        <w:r>
          <w:rPr>
            <w:noProof/>
          </w:rPr>
          <w:instrText xml:space="preserve"> PAGEREF _Toc204789944 \h </w:instrText>
        </w:r>
        <w:r>
          <w:rPr>
            <w:noProof/>
          </w:rPr>
        </w:r>
        <w:r>
          <w:rPr>
            <w:noProof/>
          </w:rPr>
          <w:fldChar w:fldCharType="separate"/>
        </w:r>
        <w:r>
          <w:rPr>
            <w:noProof/>
          </w:rPr>
          <w:t>18</w:t>
        </w:r>
        <w:r>
          <w:rPr>
            <w:noProof/>
          </w:rPr>
          <w:fldChar w:fldCharType="end"/>
        </w:r>
      </w:hyperlink>
    </w:p>
    <w:p w14:paraId="1E0B35E7" w14:textId="15C4C050" w:rsidR="006F6BCF" w:rsidRDefault="00766059">
      <w:pPr>
        <w:pStyle w:val="RedaliaNormal"/>
      </w:pPr>
      <w:r>
        <w:rPr>
          <w:b/>
          <w:kern w:val="3"/>
          <w:sz w:val="24"/>
        </w:rPr>
        <w:fldChar w:fldCharType="end"/>
      </w:r>
    </w:p>
    <w:p w14:paraId="2F1FA3A1" w14:textId="77777777" w:rsidR="006F6BCF" w:rsidRDefault="006F6BCF">
      <w:pPr>
        <w:pStyle w:val="RedaliaNormal"/>
        <w:pageBreakBefore/>
      </w:pPr>
    </w:p>
    <w:p w14:paraId="6BD5209E" w14:textId="77777777" w:rsidR="006F6BCF" w:rsidRDefault="00766059">
      <w:pPr>
        <w:pStyle w:val="RedaliaTitre1"/>
      </w:pPr>
      <w:bookmarkStart w:id="6" w:name="_Toc526153317"/>
      <w:bookmarkStart w:id="7" w:name="_Toc79070487"/>
      <w:bookmarkStart w:id="8" w:name="_Toc204789918"/>
      <w:r>
        <w:t xml:space="preserve">Objet de </w:t>
      </w:r>
      <w:bookmarkEnd w:id="6"/>
      <w:r>
        <w:t>l’accord-cadre – Caractéristiques principales</w:t>
      </w:r>
      <w:bookmarkEnd w:id="7"/>
      <w:bookmarkEnd w:id="8"/>
    </w:p>
    <w:p w14:paraId="6A513206" w14:textId="77777777" w:rsidR="006F6BCF" w:rsidRDefault="00766059">
      <w:pPr>
        <w:pStyle w:val="RedaliaTitre2"/>
      </w:pPr>
      <w:bookmarkStart w:id="9" w:name="_Toc79070488"/>
      <w:bookmarkStart w:id="10" w:name="_Toc204789919"/>
      <w:r>
        <w:t>Objet de l’accord-cadre</w:t>
      </w:r>
      <w:bookmarkEnd w:id="9"/>
      <w:bookmarkEnd w:id="10"/>
    </w:p>
    <w:p w14:paraId="47F90E49" w14:textId="77777777" w:rsidR="006F6BCF" w:rsidRPr="009911CE" w:rsidRDefault="00766059">
      <w:pPr>
        <w:pStyle w:val="RedaliaNormal"/>
        <w:rPr>
          <w:rFonts w:asciiTheme="minorHAnsi" w:hAnsiTheme="minorHAnsi" w:cstheme="minorHAnsi"/>
        </w:rPr>
      </w:pPr>
      <w:r w:rsidRPr="009911CE">
        <w:rPr>
          <w:rFonts w:asciiTheme="minorHAnsi" w:hAnsiTheme="minorHAnsi" w:cstheme="minorHAnsi"/>
        </w:rPr>
        <w:t>La consultation a pour objet : ACCORD-CADRE METIER DES FONCTIONS RISQUE, CONFORMITE / CONTROLE PERMANENT</w:t>
      </w:r>
    </w:p>
    <w:p w14:paraId="38A5D4E5" w14:textId="77777777" w:rsidR="002F7BDD" w:rsidRPr="009911CE" w:rsidRDefault="002F7BDD">
      <w:pPr>
        <w:pStyle w:val="RedaliaNormal"/>
        <w:rPr>
          <w:rFonts w:asciiTheme="minorHAnsi" w:hAnsiTheme="minorHAnsi" w:cstheme="minorHAnsi"/>
        </w:rPr>
      </w:pPr>
    </w:p>
    <w:p w14:paraId="3DA03A07" w14:textId="77777777" w:rsidR="002F48B1" w:rsidRPr="009911CE" w:rsidRDefault="002F48B1" w:rsidP="002F48B1">
      <w:pPr>
        <w:pStyle w:val="RedaliaSoustitredocument"/>
        <w:jc w:val="left"/>
        <w:rPr>
          <w:rFonts w:asciiTheme="minorHAnsi" w:hAnsiTheme="minorHAnsi" w:cstheme="minorHAnsi"/>
          <w:sz w:val="22"/>
          <w:szCs w:val="22"/>
        </w:rPr>
      </w:pPr>
      <w:r w:rsidRPr="009911CE">
        <w:rPr>
          <w:rFonts w:asciiTheme="minorHAnsi" w:hAnsiTheme="minorHAnsi" w:cstheme="minorHAnsi"/>
          <w:sz w:val="22"/>
          <w:szCs w:val="22"/>
        </w:rPr>
        <w:t xml:space="preserve">01 - Prestations </w:t>
      </w:r>
      <w:r w:rsidRPr="009911CE">
        <w:rPr>
          <w:rFonts w:asciiTheme="minorHAnsi" w:hAnsiTheme="minorHAnsi" w:cstheme="minorHAnsi"/>
          <w:b/>
          <w:sz w:val="22"/>
          <w:szCs w:val="22"/>
        </w:rPr>
        <w:t xml:space="preserve">d’Assistance à </w:t>
      </w:r>
      <w:proofErr w:type="spellStart"/>
      <w:r w:rsidRPr="009911CE">
        <w:rPr>
          <w:rFonts w:asciiTheme="minorHAnsi" w:hAnsiTheme="minorHAnsi" w:cstheme="minorHAnsi"/>
          <w:b/>
          <w:sz w:val="22"/>
          <w:szCs w:val="22"/>
        </w:rPr>
        <w:t>Maitrîse</w:t>
      </w:r>
      <w:proofErr w:type="spellEnd"/>
      <w:r w:rsidRPr="009911CE">
        <w:rPr>
          <w:rFonts w:asciiTheme="minorHAnsi" w:hAnsiTheme="minorHAnsi" w:cstheme="minorHAnsi"/>
          <w:b/>
          <w:sz w:val="22"/>
          <w:szCs w:val="22"/>
        </w:rPr>
        <w:t xml:space="preserve"> d’Ouvrag</w:t>
      </w:r>
      <w:r w:rsidRPr="009911CE">
        <w:rPr>
          <w:rFonts w:asciiTheme="minorHAnsi" w:hAnsiTheme="minorHAnsi" w:cstheme="minorHAnsi"/>
          <w:sz w:val="22"/>
          <w:szCs w:val="22"/>
        </w:rPr>
        <w:t>e pour les métiers en Risques et Conformité / Contrôle permanent</w:t>
      </w:r>
    </w:p>
    <w:p w14:paraId="46DEF3F6" w14:textId="77777777" w:rsidR="002F48B1" w:rsidRPr="009911CE" w:rsidRDefault="002F48B1" w:rsidP="002F48B1">
      <w:pPr>
        <w:pStyle w:val="RedaliaNormal"/>
        <w:rPr>
          <w:rFonts w:asciiTheme="minorHAnsi" w:hAnsiTheme="minorHAnsi" w:cstheme="minorHAnsi"/>
          <w:szCs w:val="22"/>
        </w:rPr>
      </w:pPr>
    </w:p>
    <w:p w14:paraId="724200E7" w14:textId="77777777" w:rsidR="002F48B1" w:rsidRPr="009911CE" w:rsidRDefault="002F48B1" w:rsidP="002F48B1">
      <w:pPr>
        <w:pStyle w:val="RedaliaSoustitredocument"/>
        <w:jc w:val="left"/>
        <w:rPr>
          <w:rFonts w:asciiTheme="minorHAnsi" w:hAnsiTheme="minorHAnsi" w:cstheme="minorHAnsi"/>
          <w:sz w:val="22"/>
          <w:szCs w:val="22"/>
        </w:rPr>
      </w:pPr>
      <w:r w:rsidRPr="009911CE">
        <w:rPr>
          <w:rFonts w:asciiTheme="minorHAnsi" w:hAnsiTheme="minorHAnsi" w:cstheme="minorHAnsi"/>
          <w:sz w:val="22"/>
          <w:szCs w:val="22"/>
        </w:rPr>
        <w:t xml:space="preserve">02 - Prestations </w:t>
      </w:r>
      <w:r w:rsidRPr="009911CE">
        <w:rPr>
          <w:rFonts w:asciiTheme="minorHAnsi" w:hAnsiTheme="minorHAnsi" w:cstheme="minorHAnsi"/>
          <w:b/>
          <w:sz w:val="22"/>
          <w:szCs w:val="22"/>
        </w:rPr>
        <w:t>d’Expertise spécifiques</w:t>
      </w:r>
      <w:r w:rsidRPr="009911CE">
        <w:rPr>
          <w:rFonts w:asciiTheme="minorHAnsi" w:hAnsiTheme="minorHAnsi" w:cstheme="minorHAnsi"/>
          <w:sz w:val="22"/>
          <w:szCs w:val="22"/>
        </w:rPr>
        <w:t xml:space="preserve"> en Appui aux métiers Risque et Conformité / Contrôle permanent</w:t>
      </w:r>
    </w:p>
    <w:p w14:paraId="4BEA8E60" w14:textId="77777777" w:rsidR="002F7BDD" w:rsidRDefault="002F7BDD">
      <w:pPr>
        <w:pStyle w:val="RedaliaNormal"/>
      </w:pPr>
    </w:p>
    <w:p w14:paraId="0064C65B" w14:textId="77777777" w:rsidR="006F6BCF" w:rsidRDefault="00766059">
      <w:pPr>
        <w:pStyle w:val="RedaliaTitre2"/>
      </w:pPr>
      <w:bookmarkStart w:id="11" w:name="_Toc79070489"/>
      <w:bookmarkStart w:id="12" w:name="_Toc204789920"/>
      <w:r>
        <w:t>Lieu d’exécution</w:t>
      </w:r>
      <w:bookmarkEnd w:id="11"/>
      <w:bookmarkEnd w:id="12"/>
    </w:p>
    <w:p w14:paraId="351A3D7E" w14:textId="4FF7903B" w:rsidR="006F6BCF" w:rsidRDefault="00766059">
      <w:pPr>
        <w:pStyle w:val="RedaliaNormal"/>
      </w:pPr>
      <w:r>
        <w:t>Lieu d’exécution : Paris, Siège de l'AFD</w:t>
      </w:r>
      <w:r w:rsidR="009911CE">
        <w:t>/Ile de France</w:t>
      </w:r>
    </w:p>
    <w:p w14:paraId="4AB5D999" w14:textId="77777777" w:rsidR="006F6BCF" w:rsidRDefault="00766059">
      <w:pPr>
        <w:pStyle w:val="RedaliaTitre2"/>
      </w:pPr>
      <w:bookmarkStart w:id="13" w:name="_Toc204789921"/>
      <w:r>
        <w:t>Forme des accords-cadres</w:t>
      </w:r>
      <w:bookmarkEnd w:id="13"/>
    </w:p>
    <w:p w14:paraId="3D69AE1B" w14:textId="77777777" w:rsidR="006F6BCF" w:rsidRDefault="00766059">
      <w:pPr>
        <w:pStyle w:val="RedaliaNormal"/>
      </w:pPr>
      <w:r>
        <w:t>Les prestations des lots de la consultation font l’objet d’un accord-cadre en application des articles R. 2162-1 à 2162-6 du Code de la commande publique.</w:t>
      </w:r>
    </w:p>
    <w:p w14:paraId="1A490E63" w14:textId="77777777" w:rsidR="00472D98" w:rsidRDefault="00472D98">
      <w:pPr>
        <w:pStyle w:val="RedaliaNormal"/>
      </w:pPr>
    </w:p>
    <w:p w14:paraId="7FB9B7DD" w14:textId="77777777" w:rsidR="006F6BCF" w:rsidRDefault="00766059">
      <w:pPr>
        <w:pStyle w:val="RedaliaNormal"/>
      </w:pPr>
      <w:r>
        <w:t>Les différents lots de la consultation ne font pas l’objet d’un fractionnement en tranches. Toutefois, l’accord-cadre sera exécuté en partie par la conclusion de marchés subséquents et en partie par l’émission de bons de commande.</w:t>
      </w:r>
    </w:p>
    <w:p w14:paraId="12CF9991" w14:textId="77777777" w:rsidR="00472D98" w:rsidRDefault="00472D98">
      <w:pPr>
        <w:pStyle w:val="RedaliaNormal"/>
      </w:pPr>
    </w:p>
    <w:p w14:paraId="414301F4" w14:textId="77777777" w:rsidR="006F6BCF" w:rsidRDefault="00766059">
      <w:pPr>
        <w:pStyle w:val="RedaliaNormal"/>
      </w:pPr>
      <w:r>
        <w:t>Les montants</w:t>
      </w:r>
      <w:r w:rsidR="00472D98">
        <w:t xml:space="preserve"> minimum et maximum sont fixés </w:t>
      </w:r>
      <w:r>
        <w:t>au Contrat.</w:t>
      </w:r>
    </w:p>
    <w:p w14:paraId="42AEC2E9" w14:textId="77777777" w:rsidR="006F6BCF" w:rsidRDefault="006F6BCF">
      <w:pPr>
        <w:pStyle w:val="RedaliaNormal"/>
      </w:pPr>
    </w:p>
    <w:p w14:paraId="4578333F" w14:textId="77777777" w:rsidR="006F6BCF" w:rsidRDefault="00766059">
      <w:pPr>
        <w:pStyle w:val="RedaliaNormal"/>
      </w:pPr>
      <w:r w:rsidRPr="007B4BCC">
        <w:t>L</w:t>
      </w:r>
      <w:r w:rsidR="00472D98" w:rsidRPr="007B4BCC">
        <w:t>e Lot 01 de l</w:t>
      </w:r>
      <w:r w:rsidRPr="007B4BCC">
        <w:t>’accord-cadre sera conclu avec 4 opérateurs économiques maximum, sous réserve d’un nombre suffisants d’offres conformes.</w:t>
      </w:r>
    </w:p>
    <w:p w14:paraId="2F52C01E" w14:textId="77777777" w:rsidR="00472D98" w:rsidRDefault="00472D98">
      <w:pPr>
        <w:pStyle w:val="RedaliaNormal"/>
      </w:pPr>
    </w:p>
    <w:p w14:paraId="14A11CA3" w14:textId="77777777" w:rsidR="00472D98" w:rsidRDefault="00472D98" w:rsidP="00472D98">
      <w:pPr>
        <w:pStyle w:val="RedaliaNormal"/>
      </w:pPr>
      <w:r w:rsidRPr="007B4BCC">
        <w:t xml:space="preserve">Le Lot 02 de l’accord-cadre sera conclu avec </w:t>
      </w:r>
      <w:r w:rsidR="00831D7E" w:rsidRPr="007B4BCC">
        <w:t>3</w:t>
      </w:r>
      <w:r w:rsidRPr="007B4BCC">
        <w:t xml:space="preserve"> opérateurs économiques maximum, sous réserve d’un nombre suffisants d’offres conformes.</w:t>
      </w:r>
    </w:p>
    <w:p w14:paraId="03D4559C" w14:textId="77777777" w:rsidR="006F6BCF" w:rsidRDefault="00766059">
      <w:pPr>
        <w:pStyle w:val="RedaliaTitre2"/>
      </w:pPr>
      <w:bookmarkStart w:id="14" w:name="_Toc204789922"/>
      <w:r>
        <w:t>Marchés de prestations similaires</w:t>
      </w:r>
      <w:bookmarkEnd w:id="14"/>
    </w:p>
    <w:p w14:paraId="03E50496" w14:textId="77777777" w:rsidR="006F6BCF" w:rsidRDefault="00766059">
      <w:pPr>
        <w:pStyle w:val="RedaliaNormal"/>
        <w:spacing w:before="0"/>
      </w:pPr>
      <w:r>
        <w:t>Les prestations, objet de la présente consultation, pourront donner lieu à un nouveau marché pour la réalisation de prestations similaires, passé en application de la procédure négociée sans publicité préalable et sans mise en concurrence et qui seront exécutées par l’attributaire de ce présent marché.</w:t>
      </w:r>
    </w:p>
    <w:p w14:paraId="03EDA9D7" w14:textId="77777777" w:rsidR="006F6BCF" w:rsidRDefault="00766059">
      <w:pPr>
        <w:pStyle w:val="RedaliaTitre1"/>
      </w:pPr>
      <w:bookmarkStart w:id="15" w:name="_Toc79070492"/>
      <w:bookmarkStart w:id="16" w:name="_Toc204789923"/>
      <w:r>
        <w:t>Conditions de la consultation</w:t>
      </w:r>
      <w:bookmarkEnd w:id="15"/>
      <w:bookmarkEnd w:id="3"/>
      <w:bookmarkEnd w:id="16"/>
    </w:p>
    <w:p w14:paraId="4F994B30" w14:textId="77777777" w:rsidR="006F6BCF" w:rsidRDefault="00766059">
      <w:pPr>
        <w:pStyle w:val="RedaliaTitre2"/>
      </w:pPr>
      <w:bookmarkStart w:id="17" w:name="_Toc79070493"/>
      <w:bookmarkStart w:id="18" w:name="_Toc526153319"/>
      <w:bookmarkStart w:id="19" w:name="_Toc204789924"/>
      <w:r>
        <w:t>Procédure de la consultation</w:t>
      </w:r>
      <w:bookmarkEnd w:id="17"/>
      <w:bookmarkEnd w:id="18"/>
      <w:bookmarkEnd w:id="19"/>
    </w:p>
    <w:p w14:paraId="1A81EB96" w14:textId="77777777" w:rsidR="00DA7D64" w:rsidRPr="00DA7D64" w:rsidRDefault="00DA7D64" w:rsidP="00DA7D64">
      <w:pPr>
        <w:pStyle w:val="RedaliaNormal"/>
      </w:pPr>
      <w:r w:rsidRPr="00DA7D64">
        <w:t xml:space="preserve">L'accord-cadre est passé selon la procédure concurrentielle avec négociation, conformément à l'article R.2124-3, 1° du code de la commande publique, dès lors que les besoins susceptibles d’être formulés dans le cadre des marchés subséquents ne peuvent être satisfaits sans adaptation de </w:t>
      </w:r>
      <w:r w:rsidRPr="00DA7D64">
        <w:lastRenderedPageBreak/>
        <w:t>solutions immédiatement disponibles.</w:t>
      </w:r>
    </w:p>
    <w:p w14:paraId="05379EA8" w14:textId="0184B363" w:rsidR="00DA7D64" w:rsidRPr="00DA7D64" w:rsidRDefault="00DA7D64" w:rsidP="00DA7D64">
      <w:pPr>
        <w:pStyle w:val="RedaliaNormal"/>
      </w:pPr>
      <w:r w:rsidRPr="00DA7D64">
        <w:t>En effet, les prestations attendues relèvent d’un domaine complexe et stratégique, en lien avec les métiers du risque et de la conformité, soumis à un environnement réglementaire exigeant,</w:t>
      </w:r>
      <w:r>
        <w:t xml:space="preserve"> fluctuant, agile</w:t>
      </w:r>
      <w:r w:rsidRPr="00DA7D64">
        <w:t xml:space="preserve"> et à multi-niveaux (interne, national et international). Ces caractéristiques impliquent :</w:t>
      </w:r>
    </w:p>
    <w:p w14:paraId="41CE393F" w14:textId="77777777" w:rsidR="00DA7D64" w:rsidRPr="00DA7D64" w:rsidRDefault="00DA7D64" w:rsidP="00DA7D64">
      <w:pPr>
        <w:pStyle w:val="RedaliaNormal"/>
        <w:numPr>
          <w:ilvl w:val="0"/>
          <w:numId w:val="41"/>
        </w:numPr>
      </w:pPr>
      <w:proofErr w:type="gramStart"/>
      <w:r w:rsidRPr="00DA7D64">
        <w:t>une</w:t>
      </w:r>
      <w:proofErr w:type="gramEnd"/>
      <w:r w:rsidRPr="00DA7D64">
        <w:t xml:space="preserve"> variabilité importante des besoins selon les sollicitations (profils d’experts, périmètres d’intervention, contraintes techniques et réglementaires),</w:t>
      </w:r>
    </w:p>
    <w:p w14:paraId="1F76F1CB" w14:textId="77777777" w:rsidR="00DA7D64" w:rsidRPr="00DA7D64" w:rsidRDefault="00DA7D64" w:rsidP="00DA7D64">
      <w:pPr>
        <w:pStyle w:val="RedaliaNormal"/>
        <w:numPr>
          <w:ilvl w:val="0"/>
          <w:numId w:val="41"/>
        </w:numPr>
      </w:pPr>
      <w:proofErr w:type="gramStart"/>
      <w:r w:rsidRPr="00DA7D64">
        <w:t>une</w:t>
      </w:r>
      <w:proofErr w:type="gramEnd"/>
      <w:r w:rsidRPr="00DA7D64">
        <w:t xml:space="preserve"> nécessité d’adapter finement les solutions proposées aux spécificités de chaque situation,</w:t>
      </w:r>
    </w:p>
    <w:p w14:paraId="3126AC4C" w14:textId="77777777" w:rsidR="00DA7D64" w:rsidRPr="00DA7D64" w:rsidRDefault="00DA7D64" w:rsidP="00DA7D64">
      <w:pPr>
        <w:pStyle w:val="RedaliaNormal"/>
        <w:numPr>
          <w:ilvl w:val="0"/>
          <w:numId w:val="41"/>
        </w:numPr>
      </w:pPr>
      <w:proofErr w:type="gramStart"/>
      <w:r w:rsidRPr="00DA7D64">
        <w:t>et</w:t>
      </w:r>
      <w:proofErr w:type="gramEnd"/>
      <w:r w:rsidRPr="00DA7D64">
        <w:t xml:space="preserve"> la valeur ajoutée d’un dialogue entre l’acheteur et les opérateurs pour optimiser la réponse technique et financière.</w:t>
      </w:r>
    </w:p>
    <w:p w14:paraId="2478A7EA" w14:textId="33ACB840" w:rsidR="006F6BCF" w:rsidRDefault="00DA7D64" w:rsidP="00DA7D64">
      <w:pPr>
        <w:pStyle w:val="RedaliaNormal"/>
      </w:pPr>
      <w:r w:rsidRPr="00DA7D64">
        <w:t>Le recours à la négociation permettra ainsi de mieux définir les modalités d’exécution des prestations, d’ajuster les propositions aux attentes réelles de l’acheteur, et de garantir la pertinence et l'efficacité des interventions à chaque étape du marché</w:t>
      </w:r>
      <w:r w:rsidR="00766059">
        <w:t>.</w:t>
      </w:r>
    </w:p>
    <w:p w14:paraId="43CE78C6" w14:textId="77777777" w:rsidR="00DF29E1" w:rsidRDefault="00DF29E1">
      <w:pPr>
        <w:pStyle w:val="RedaliaNormal"/>
      </w:pPr>
    </w:p>
    <w:p w14:paraId="7ED7EBAC" w14:textId="77777777" w:rsidR="00DF29E1" w:rsidRDefault="008D14F0" w:rsidP="008D14F0">
      <w:pPr>
        <w:pStyle w:val="RedaliaTitre2"/>
      </w:pPr>
      <w:bookmarkStart w:id="20" w:name="_Toc204789925"/>
      <w:r>
        <w:t>Déroulé de la procédure</w:t>
      </w:r>
      <w:bookmarkEnd w:id="20"/>
    </w:p>
    <w:p w14:paraId="0E2088B1" w14:textId="77777777" w:rsidR="008D14F0" w:rsidRPr="00E72E65" w:rsidRDefault="008D14F0" w:rsidP="008D14F0">
      <w:pPr>
        <w:pStyle w:val="RedaliaNormal"/>
      </w:pPr>
      <w:r w:rsidRPr="00E72E65">
        <w:t>La procédure concurrentielle avec négociation sera mise en œuvre en 4 phases</w:t>
      </w:r>
      <w:r>
        <w:t xml:space="preserve"> </w:t>
      </w:r>
      <w:r w:rsidRPr="00503356">
        <w:t>pour chacun des deux lots</w:t>
      </w:r>
      <w:r>
        <w:t xml:space="preserve"> </w:t>
      </w:r>
      <w:r w:rsidRPr="00E72E65">
        <w:t>:</w:t>
      </w:r>
    </w:p>
    <w:p w14:paraId="1128A334" w14:textId="77777777" w:rsidR="008D14F0" w:rsidRDefault="008D14F0" w:rsidP="008D14F0">
      <w:pPr>
        <w:pStyle w:val="RedaliaNormal"/>
      </w:pPr>
    </w:p>
    <w:p w14:paraId="56DFDDA9" w14:textId="77777777" w:rsidR="00B236FE" w:rsidRDefault="00B236FE" w:rsidP="00B236FE">
      <w:pPr>
        <w:pStyle w:val="RedaliaNormal"/>
      </w:pPr>
      <w:r>
        <w:t>Lot 1 :</w:t>
      </w:r>
    </w:p>
    <w:p w14:paraId="1F0E94E1" w14:textId="77777777" w:rsidR="00426D32" w:rsidRPr="005C2492" w:rsidRDefault="00426D32" w:rsidP="00426D32">
      <w:pPr>
        <w:pStyle w:val="Paragraphedeliste"/>
        <w:numPr>
          <w:ilvl w:val="0"/>
          <w:numId w:val="40"/>
        </w:numPr>
        <w:autoSpaceDE w:val="0"/>
        <w:spacing w:before="100" w:after="100"/>
        <w:jc w:val="both"/>
      </w:pPr>
      <w:r w:rsidRPr="005C2492">
        <w:t>La phase 1 – Appel à candidature : Il s’agit de sélectionner les candidats admis à remettre une offre (sur la base de leur dossier de candidature)</w:t>
      </w:r>
    </w:p>
    <w:p w14:paraId="0D7240D3" w14:textId="2B553F3E" w:rsidR="00426D32" w:rsidRDefault="00426D32" w:rsidP="00426D32">
      <w:pPr>
        <w:autoSpaceDE w:val="0"/>
        <w:spacing w:before="100" w:after="100"/>
        <w:jc w:val="both"/>
      </w:pPr>
      <w:r w:rsidRPr="005C2492">
        <w:t xml:space="preserve">Le Pouvoir Adjudicateur procèdera à l’analyse des candidatures reçues et sélectionnera </w:t>
      </w:r>
      <w:r w:rsidR="009911CE">
        <w:t xml:space="preserve">les </w:t>
      </w:r>
      <w:r>
        <w:rPr>
          <w:b/>
        </w:rPr>
        <w:t xml:space="preserve">8 </w:t>
      </w:r>
      <w:r w:rsidRPr="005C2492">
        <w:t xml:space="preserve">candidats </w:t>
      </w:r>
      <w:r w:rsidR="009911CE">
        <w:t xml:space="preserve">arrivés en tête </w:t>
      </w:r>
      <w:r w:rsidRPr="005C2492">
        <w:t>p</w:t>
      </w:r>
      <w:r w:rsidR="009911CE">
        <w:t>our ce</w:t>
      </w:r>
      <w:r w:rsidRPr="005C2492">
        <w:t xml:space="preserve"> lot, à qui il sera demandé la remise d’une offre initiale</w:t>
      </w:r>
      <w:r>
        <w:t>.</w:t>
      </w:r>
    </w:p>
    <w:p w14:paraId="3A931BB4" w14:textId="77777777" w:rsidR="00426D32" w:rsidRDefault="00426D32" w:rsidP="00426D32">
      <w:pPr>
        <w:pStyle w:val="Paragraphedeliste"/>
        <w:numPr>
          <w:ilvl w:val="0"/>
          <w:numId w:val="40"/>
        </w:numPr>
        <w:autoSpaceDE w:val="0"/>
        <w:spacing w:before="100" w:after="100"/>
      </w:pPr>
      <w:r w:rsidRPr="005C2492">
        <w:t>La phase 2 – Offre initiale : </w:t>
      </w:r>
    </w:p>
    <w:p w14:paraId="389AA288" w14:textId="075A08B3" w:rsidR="00426D32" w:rsidRDefault="00923026" w:rsidP="00426D32">
      <w:pPr>
        <w:autoSpaceDE w:val="0"/>
        <w:spacing w:before="100" w:after="100"/>
        <w:jc w:val="both"/>
      </w:pPr>
      <w:r>
        <w:t>Les</w:t>
      </w:r>
      <w:r w:rsidRPr="005C2492">
        <w:t xml:space="preserve"> </w:t>
      </w:r>
      <w:r w:rsidR="00426D32" w:rsidRPr="005C2492">
        <w:t>offre</w:t>
      </w:r>
      <w:r>
        <w:t>s</w:t>
      </w:r>
      <w:r w:rsidR="00426D32" w:rsidRPr="005C2492">
        <w:t xml:space="preserve"> ser</w:t>
      </w:r>
      <w:r>
        <w:t>ont</w:t>
      </w:r>
      <w:r w:rsidR="00426D32" w:rsidRPr="005C2492">
        <w:t xml:space="preserve"> analysée</w:t>
      </w:r>
      <w:r>
        <w:t>s</w:t>
      </w:r>
      <w:r w:rsidR="00426D32" w:rsidRPr="005C2492">
        <w:t xml:space="preserve"> et un premier classement sera effectué pour ce lot, selon les critères mentionnés à l’article jugement des offres</w:t>
      </w:r>
      <w:r>
        <w:t>.</w:t>
      </w:r>
    </w:p>
    <w:p w14:paraId="62A48C93" w14:textId="3AC57313" w:rsidR="00923026" w:rsidRPr="005C2492" w:rsidRDefault="00923026" w:rsidP="00426D32">
      <w:pPr>
        <w:autoSpaceDE w:val="0"/>
        <w:spacing w:before="100" w:after="100"/>
        <w:jc w:val="both"/>
      </w:pPr>
      <w:r>
        <w:t>A l’issue de l’analyse des offres initiales, et sous réserve d’avoir obtenu une note technique minimale de 35/50, les candidats seront invités à l’éventuelle phase de négociation.</w:t>
      </w:r>
    </w:p>
    <w:p w14:paraId="5B2223C2" w14:textId="69AFB304" w:rsidR="00426D32" w:rsidRDefault="00426D32" w:rsidP="00426D32">
      <w:pPr>
        <w:pStyle w:val="Paragraphedeliste"/>
        <w:numPr>
          <w:ilvl w:val="0"/>
          <w:numId w:val="40"/>
        </w:numPr>
        <w:autoSpaceDE w:val="0"/>
        <w:spacing w:before="100" w:after="100"/>
      </w:pPr>
      <w:r w:rsidRPr="005C2492">
        <w:t>La phase 3 – Négociations</w:t>
      </w:r>
      <w:r w:rsidR="00923026">
        <w:t xml:space="preserve"> éventuelles</w:t>
      </w:r>
      <w:r w:rsidRPr="005C2492">
        <w:t xml:space="preserve"> pour </w:t>
      </w:r>
      <w:r w:rsidR="009911CE">
        <w:t xml:space="preserve">le </w:t>
      </w:r>
      <w:r w:rsidRPr="005C2492">
        <w:t>lot</w:t>
      </w:r>
      <w:r w:rsidR="009911CE">
        <w:t xml:space="preserve"> 1 :</w:t>
      </w:r>
      <w:r w:rsidRPr="005C2492">
        <w:t> </w:t>
      </w:r>
    </w:p>
    <w:p w14:paraId="47C2BF90" w14:textId="172E00BF" w:rsidR="00426D32" w:rsidRPr="005C2492" w:rsidRDefault="00426D32" w:rsidP="00426D32">
      <w:pPr>
        <w:autoSpaceDE w:val="0"/>
        <w:spacing w:before="100" w:after="100"/>
        <w:jc w:val="both"/>
      </w:pPr>
      <w:r w:rsidRPr="005C2492">
        <w:t xml:space="preserve">Après ce premier tour de négociation, </w:t>
      </w:r>
      <w:r w:rsidR="00923026">
        <w:t xml:space="preserve">les candidats seront invités à remettre leur offre modifiée. En application des critères de jugement des offres, </w:t>
      </w:r>
      <w:r w:rsidRPr="005C2492">
        <w:t xml:space="preserve">les </w:t>
      </w:r>
      <w:r>
        <w:rPr>
          <w:b/>
        </w:rPr>
        <w:t>6 meilleurs</w:t>
      </w:r>
      <w:r w:rsidRPr="005C2492">
        <w:t xml:space="preserve"> candidats, de chaque lot, se verront demander une offre négociée </w:t>
      </w:r>
      <w:r>
        <w:t>finale</w:t>
      </w:r>
      <w:r w:rsidRPr="005C2492">
        <w:t>.</w:t>
      </w:r>
    </w:p>
    <w:p w14:paraId="153BDB58" w14:textId="77777777" w:rsidR="00426D32" w:rsidRPr="005C2492" w:rsidRDefault="00426D32" w:rsidP="00426D32">
      <w:pPr>
        <w:pStyle w:val="Paragraphedeliste"/>
        <w:numPr>
          <w:ilvl w:val="0"/>
          <w:numId w:val="40"/>
        </w:numPr>
        <w:autoSpaceDE w:val="0"/>
        <w:spacing w:before="100" w:after="100"/>
      </w:pPr>
      <w:r w:rsidRPr="005C2492">
        <w:t>La phase 4 – Offre finale : </w:t>
      </w:r>
    </w:p>
    <w:p w14:paraId="345A8541" w14:textId="24A670CB" w:rsidR="00426D32" w:rsidRDefault="00426D32" w:rsidP="00426D32">
      <w:pPr>
        <w:autoSpaceDE w:val="0"/>
        <w:spacing w:before="100" w:after="100"/>
      </w:pPr>
      <w:r w:rsidRPr="005C2492">
        <w:t>Les attributaires de c</w:t>
      </w:r>
      <w:r w:rsidR="009911CE">
        <w:t>e</w:t>
      </w:r>
      <w:r w:rsidRPr="005C2492">
        <w:t xml:space="preserve"> lot seront sélectionnés sur la base des offres financières et techniques après remise de l’offre finale. Un classement final sera établi, et les </w:t>
      </w:r>
      <w:r>
        <w:rPr>
          <w:b/>
        </w:rPr>
        <w:t>4</w:t>
      </w:r>
      <w:r w:rsidRPr="005C2492">
        <w:t xml:space="preserve"> premiers candidats de </w:t>
      </w:r>
      <w:r w:rsidR="009911CE">
        <w:t>ce</w:t>
      </w:r>
      <w:r w:rsidRPr="005C2492">
        <w:t xml:space="preserve"> lot, </w:t>
      </w:r>
      <w:r>
        <w:t>se verront attribuer le marché.</w:t>
      </w:r>
    </w:p>
    <w:p w14:paraId="20DBB145" w14:textId="77777777" w:rsidR="008D14F0" w:rsidRDefault="008D14F0" w:rsidP="008D14F0">
      <w:pPr>
        <w:pStyle w:val="RedaliaRetraitavecpuce"/>
        <w:spacing w:after="120"/>
        <w:ind w:left="720"/>
      </w:pPr>
    </w:p>
    <w:p w14:paraId="321152BC" w14:textId="59B752A1" w:rsidR="00503356" w:rsidRDefault="00503356" w:rsidP="00503356">
      <w:pPr>
        <w:pStyle w:val="RedaliaNormal"/>
      </w:pPr>
      <w:r>
        <w:t xml:space="preserve">Lot </w:t>
      </w:r>
      <w:proofErr w:type="gramStart"/>
      <w:r>
        <w:t>2:</w:t>
      </w:r>
      <w:proofErr w:type="gramEnd"/>
    </w:p>
    <w:p w14:paraId="3BF43849" w14:textId="77777777" w:rsidR="00B236FE" w:rsidRPr="005C2492" w:rsidRDefault="00B236FE" w:rsidP="00B236FE">
      <w:pPr>
        <w:pStyle w:val="Paragraphedeliste"/>
        <w:numPr>
          <w:ilvl w:val="0"/>
          <w:numId w:val="40"/>
        </w:numPr>
        <w:autoSpaceDE w:val="0"/>
        <w:spacing w:before="100" w:after="100"/>
        <w:jc w:val="both"/>
      </w:pPr>
      <w:r w:rsidRPr="005C2492">
        <w:t>La phase 1 – Appel à candidature : Il s’agit de sélectionner les candidats admis à remettre une offre (sur la base de leur dossier de candidature)</w:t>
      </w:r>
    </w:p>
    <w:p w14:paraId="232019BE" w14:textId="1148A71B" w:rsidR="00B236FE" w:rsidRDefault="00B236FE" w:rsidP="00B236FE">
      <w:pPr>
        <w:autoSpaceDE w:val="0"/>
        <w:spacing w:before="100" w:after="100"/>
        <w:jc w:val="both"/>
      </w:pPr>
      <w:r w:rsidRPr="005C2492">
        <w:t xml:space="preserve">Le Pouvoir Adjudicateur procèdera à l’analyse des candidatures reçues et sélectionnera </w:t>
      </w:r>
      <w:r w:rsidR="009911CE">
        <w:t xml:space="preserve">les </w:t>
      </w:r>
      <w:r>
        <w:rPr>
          <w:b/>
        </w:rPr>
        <w:t xml:space="preserve">6 </w:t>
      </w:r>
      <w:r w:rsidRPr="005C2492">
        <w:t>candidats</w:t>
      </w:r>
      <w:r w:rsidR="009911CE">
        <w:t xml:space="preserve"> arrivés en tête</w:t>
      </w:r>
      <w:r w:rsidRPr="005C2492">
        <w:t xml:space="preserve"> p</w:t>
      </w:r>
      <w:r w:rsidR="009911CE">
        <w:t>our ce</w:t>
      </w:r>
      <w:r w:rsidRPr="005C2492">
        <w:t xml:space="preserve"> lot, à qui il sera demandé la remise d’une offre initiale</w:t>
      </w:r>
      <w:r>
        <w:t>.</w:t>
      </w:r>
    </w:p>
    <w:p w14:paraId="218863F8" w14:textId="77777777" w:rsidR="00B236FE" w:rsidRDefault="00B236FE" w:rsidP="00B236FE">
      <w:pPr>
        <w:pStyle w:val="Paragraphedeliste"/>
        <w:numPr>
          <w:ilvl w:val="0"/>
          <w:numId w:val="40"/>
        </w:numPr>
        <w:autoSpaceDE w:val="0"/>
        <w:spacing w:before="100" w:after="100"/>
      </w:pPr>
      <w:r w:rsidRPr="005C2492">
        <w:t>La phase 2 – Offre initiale : </w:t>
      </w:r>
    </w:p>
    <w:p w14:paraId="086FE1B0" w14:textId="044B720D" w:rsidR="00B236FE" w:rsidRPr="005C2492" w:rsidRDefault="00923026" w:rsidP="00B236FE">
      <w:pPr>
        <w:autoSpaceDE w:val="0"/>
        <w:spacing w:before="100" w:after="100"/>
        <w:jc w:val="both"/>
      </w:pPr>
      <w:r>
        <w:lastRenderedPageBreak/>
        <w:t>Les</w:t>
      </w:r>
      <w:r w:rsidRPr="005C2492">
        <w:t xml:space="preserve"> </w:t>
      </w:r>
      <w:r w:rsidR="00B236FE" w:rsidRPr="005C2492">
        <w:t>offre</w:t>
      </w:r>
      <w:r>
        <w:t>s</w:t>
      </w:r>
      <w:r w:rsidR="00B236FE" w:rsidRPr="005C2492">
        <w:t xml:space="preserve"> ser</w:t>
      </w:r>
      <w:r>
        <w:t>ont</w:t>
      </w:r>
      <w:r w:rsidR="00B236FE" w:rsidRPr="005C2492">
        <w:t xml:space="preserve"> analysée</w:t>
      </w:r>
      <w:r>
        <w:t>s</w:t>
      </w:r>
      <w:r w:rsidR="00B236FE" w:rsidRPr="005C2492">
        <w:t xml:space="preserve"> et un premier classement sera effectué pour c</w:t>
      </w:r>
      <w:r w:rsidR="009911CE">
        <w:t>e</w:t>
      </w:r>
      <w:r w:rsidR="00B236FE" w:rsidRPr="005C2492">
        <w:t xml:space="preserve"> lot, selon les critères mentionnés à l’article jugement des offres</w:t>
      </w:r>
      <w:r>
        <w:t>.</w:t>
      </w:r>
    </w:p>
    <w:p w14:paraId="7232632B" w14:textId="77777777" w:rsidR="00923026" w:rsidRPr="005C2492" w:rsidRDefault="00923026" w:rsidP="00923026">
      <w:pPr>
        <w:autoSpaceDE w:val="0"/>
        <w:spacing w:before="100" w:after="100"/>
        <w:jc w:val="both"/>
      </w:pPr>
      <w:r>
        <w:t>A l’issue de l’analyse des offres initiales, et sous réserve d’avoir obtenu une note technique minimale de 35/50, les candidats seront invités à l’éventuelle phase de négociation.</w:t>
      </w:r>
    </w:p>
    <w:p w14:paraId="5AA2A05F" w14:textId="57B6693E" w:rsidR="00B236FE" w:rsidRDefault="00B236FE" w:rsidP="00B236FE">
      <w:pPr>
        <w:pStyle w:val="Paragraphedeliste"/>
        <w:numPr>
          <w:ilvl w:val="0"/>
          <w:numId w:val="40"/>
        </w:numPr>
        <w:autoSpaceDE w:val="0"/>
        <w:spacing w:before="100" w:after="100"/>
      </w:pPr>
      <w:r w:rsidRPr="005C2492">
        <w:t xml:space="preserve">La phase 3 – Négociations </w:t>
      </w:r>
      <w:r w:rsidR="00923026">
        <w:t xml:space="preserve">éventuelles </w:t>
      </w:r>
      <w:r w:rsidRPr="005C2492">
        <w:t xml:space="preserve">pour </w:t>
      </w:r>
      <w:r w:rsidR="009911CE">
        <w:t>le</w:t>
      </w:r>
      <w:r w:rsidRPr="005C2492">
        <w:t xml:space="preserve"> lot</w:t>
      </w:r>
      <w:r w:rsidR="009911CE">
        <w:t xml:space="preserve"> 2 :</w:t>
      </w:r>
      <w:r w:rsidRPr="005C2492">
        <w:t> </w:t>
      </w:r>
    </w:p>
    <w:p w14:paraId="2BEF45F0" w14:textId="4D375729" w:rsidR="00B236FE" w:rsidRPr="005C2492" w:rsidRDefault="00B236FE" w:rsidP="00B236FE">
      <w:pPr>
        <w:autoSpaceDE w:val="0"/>
        <w:spacing w:before="100" w:after="100"/>
        <w:jc w:val="both"/>
      </w:pPr>
      <w:r w:rsidRPr="005C2492">
        <w:t>Après ce premier tour de négociation,</w:t>
      </w:r>
      <w:r w:rsidR="00923026">
        <w:t xml:space="preserve"> les candidats seront invités à remettre leur offre modifiée. En application des critères de jugement des offres,</w:t>
      </w:r>
      <w:r w:rsidRPr="005C2492">
        <w:t xml:space="preserve"> les </w:t>
      </w:r>
      <w:r w:rsidR="009911CE">
        <w:rPr>
          <w:b/>
        </w:rPr>
        <w:t>4</w:t>
      </w:r>
      <w:r>
        <w:rPr>
          <w:b/>
        </w:rPr>
        <w:t xml:space="preserve"> meilleurs</w:t>
      </w:r>
      <w:r w:rsidRPr="005C2492">
        <w:t xml:space="preserve"> candidats, de ce lot, se verront demander une offre négociée </w:t>
      </w:r>
      <w:r>
        <w:t>finale</w:t>
      </w:r>
      <w:r w:rsidRPr="005C2492">
        <w:t>.</w:t>
      </w:r>
    </w:p>
    <w:p w14:paraId="155AD178" w14:textId="77777777" w:rsidR="00B236FE" w:rsidRPr="005C2492" w:rsidRDefault="00B236FE" w:rsidP="00B236FE">
      <w:pPr>
        <w:pStyle w:val="Paragraphedeliste"/>
        <w:numPr>
          <w:ilvl w:val="0"/>
          <w:numId w:val="40"/>
        </w:numPr>
        <w:autoSpaceDE w:val="0"/>
        <w:spacing w:before="100" w:after="100"/>
      </w:pPr>
      <w:r w:rsidRPr="005C2492">
        <w:t>La phase 4 – Offre finale : </w:t>
      </w:r>
    </w:p>
    <w:p w14:paraId="5822B4CB" w14:textId="17B1905D" w:rsidR="00B236FE" w:rsidRDefault="00B236FE" w:rsidP="00923026">
      <w:pPr>
        <w:autoSpaceDE w:val="0"/>
        <w:spacing w:before="100" w:after="100"/>
        <w:jc w:val="both"/>
      </w:pPr>
      <w:r w:rsidRPr="005C2492">
        <w:t xml:space="preserve">Les attributaires de </w:t>
      </w:r>
      <w:r w:rsidR="009911CE">
        <w:t>ce</w:t>
      </w:r>
      <w:r w:rsidRPr="005C2492">
        <w:t xml:space="preserve"> lot seront sélectionnés sur la base des offres financières et techniques après remise de l’offre finale. Un classement final sera établi, et les </w:t>
      </w:r>
      <w:r>
        <w:rPr>
          <w:b/>
        </w:rPr>
        <w:t>3</w:t>
      </w:r>
      <w:r w:rsidRPr="005C2492">
        <w:t xml:space="preserve"> premiers candidats de c</w:t>
      </w:r>
      <w:r w:rsidR="00A672AC">
        <w:t>e</w:t>
      </w:r>
      <w:r w:rsidRPr="005C2492">
        <w:t xml:space="preserve"> lot, </w:t>
      </w:r>
      <w:r>
        <w:t>se verront attribuer le marché.</w:t>
      </w:r>
    </w:p>
    <w:p w14:paraId="2FC19F84" w14:textId="77777777" w:rsidR="00503356" w:rsidRPr="00E72E65" w:rsidRDefault="00503356" w:rsidP="008D14F0">
      <w:pPr>
        <w:pStyle w:val="RedaliaRetraitavecpuce"/>
        <w:spacing w:after="120"/>
        <w:ind w:left="720"/>
      </w:pPr>
    </w:p>
    <w:p w14:paraId="272C78BD" w14:textId="77777777" w:rsidR="008D14F0" w:rsidRDefault="008D14F0" w:rsidP="008D14F0">
      <w:pPr>
        <w:pStyle w:val="RedaliaNormal"/>
      </w:pPr>
      <w:r w:rsidRPr="00503356">
        <w:t>L’AFD se réserve la faculté d’attribuer l’accord-cadre sur la base des offres initiales.</w:t>
      </w:r>
      <w:r w:rsidRPr="00E72E65">
        <w:t xml:space="preserve"> Dans le cadre des négociations, les candidats retenus seront invités, dans les strictes conditions d’égalité, à préciser, compléter ou modifier leur offre sans pour autant qu’il</w:t>
      </w:r>
      <w:r>
        <w:t xml:space="preserve"> soit apporté de modifications substantielles au cahier des charges.</w:t>
      </w:r>
    </w:p>
    <w:p w14:paraId="7020A7E0" w14:textId="77777777" w:rsidR="008D14F0" w:rsidRDefault="008D14F0">
      <w:pPr>
        <w:pStyle w:val="RedaliaNormal"/>
      </w:pPr>
    </w:p>
    <w:p w14:paraId="2FD52593" w14:textId="77777777" w:rsidR="006F6BCF" w:rsidRDefault="00766059">
      <w:pPr>
        <w:pStyle w:val="RedaliaTitre2"/>
      </w:pPr>
      <w:bookmarkStart w:id="21" w:name="_Toc204789926"/>
      <w:r>
        <w:t>Mode de dévolution : accords-cadres séparés</w:t>
      </w:r>
      <w:bookmarkEnd w:id="21"/>
    </w:p>
    <w:p w14:paraId="1F0F5325" w14:textId="77777777" w:rsidR="006F6BCF" w:rsidRDefault="00766059">
      <w:pPr>
        <w:pStyle w:val="RedaliaNormal"/>
      </w:pPr>
      <w:r>
        <w:t>La consultation est divisée en lots, chaque lot faisant l’objet d’un accord-cadre séparé confié à une entreprise unique ou un groupement d’entreprises.</w:t>
      </w:r>
    </w:p>
    <w:p w14:paraId="29F564A5" w14:textId="77777777" w:rsidR="006F6BCF" w:rsidRDefault="006F6BCF">
      <w:pPr>
        <w:pStyle w:val="RedaliaNormal"/>
      </w:pPr>
    </w:p>
    <w:p w14:paraId="4622DC3E" w14:textId="77777777" w:rsidR="006F6BCF" w:rsidRDefault="00766059">
      <w:pPr>
        <w:pStyle w:val="RedaliaNormal"/>
      </w:pPr>
      <w:r>
        <w:t>Possibilité de présenter une offre pour :</w:t>
      </w:r>
    </w:p>
    <w:p w14:paraId="4268093F" w14:textId="77777777" w:rsidR="006F6BCF" w:rsidRPr="00503356" w:rsidRDefault="00766059">
      <w:pPr>
        <w:pStyle w:val="RedaliaRetrait2avecpuce"/>
      </w:pPr>
      <w:r w:rsidRPr="00503356">
        <w:rPr>
          <w:rFonts w:ascii="Wingdings" w:eastAsia="Wingdings" w:hAnsi="Wingdings" w:cs="Wingdings"/>
          <w:szCs w:val="22"/>
        </w:rPr>
        <w:t></w:t>
      </w:r>
      <w:r w:rsidRPr="00503356">
        <w:t xml:space="preserve"> Un lot</w:t>
      </w:r>
    </w:p>
    <w:p w14:paraId="2C377DBF" w14:textId="77777777" w:rsidR="006F6BCF" w:rsidRPr="00503356" w:rsidRDefault="00766059">
      <w:pPr>
        <w:pStyle w:val="RedaliaRetrait2avecpuce"/>
      </w:pPr>
      <w:r w:rsidRPr="00503356">
        <w:rPr>
          <w:rFonts w:ascii="Wingdings" w:eastAsia="Wingdings" w:hAnsi="Wingdings" w:cs="Wingdings"/>
          <w:szCs w:val="22"/>
        </w:rPr>
        <w:t></w:t>
      </w:r>
      <w:r w:rsidRPr="00503356">
        <w:t xml:space="preserve"> Un ou </w:t>
      </w:r>
      <w:r w:rsidR="00850F89" w:rsidRPr="00503356">
        <w:t>plusieurs lots</w:t>
      </w:r>
    </w:p>
    <w:p w14:paraId="67DFC347" w14:textId="126232A9" w:rsidR="006F6BCF" w:rsidRDefault="00160D44">
      <w:pPr>
        <w:pStyle w:val="RedaliaRetrait2avecpuce"/>
      </w:pPr>
      <w:r w:rsidRPr="00503356">
        <w:rPr>
          <w:rFonts w:ascii="Wingdings" w:eastAsia="Wingdings" w:hAnsi="Wingdings" w:cs="Wingdings"/>
          <w:szCs w:val="22"/>
        </w:rPr>
        <w:t></w:t>
      </w:r>
      <w:r w:rsidR="00991C97" w:rsidRPr="00503356">
        <w:rPr>
          <w:rFonts w:ascii="Wingdings" w:eastAsia="Wingdings" w:hAnsi="Wingdings" w:cs="Wingdings"/>
          <w:szCs w:val="22"/>
        </w:rPr>
        <w:t></w:t>
      </w:r>
      <w:r w:rsidR="00766059" w:rsidRPr="00503356">
        <w:t xml:space="preserve"> L’ensemble des lots</w:t>
      </w:r>
    </w:p>
    <w:p w14:paraId="0E537228" w14:textId="77777777" w:rsidR="006F6BCF" w:rsidRDefault="00766059">
      <w:pPr>
        <w:pStyle w:val="RedaliaTitre2"/>
      </w:pPr>
      <w:bookmarkStart w:id="22" w:name="_Toc204789927"/>
      <w:r>
        <w:t>Dispositions relatives aux groupements</w:t>
      </w:r>
      <w:bookmarkEnd w:id="22"/>
    </w:p>
    <w:p w14:paraId="324F2992" w14:textId="77777777" w:rsidR="006F6BCF" w:rsidRDefault="00766059">
      <w:pPr>
        <w:pStyle w:val="RedaliaNormal"/>
      </w:pPr>
      <w:r>
        <w:t>L’accord-cadre pourra être attribué à une seule entreprise ou à un groupement d’entreprises.</w:t>
      </w:r>
    </w:p>
    <w:p w14:paraId="21FA92FE" w14:textId="77777777" w:rsidR="006F6BCF" w:rsidRDefault="00766059">
      <w:pPr>
        <w:pStyle w:val="RedaliaNormal"/>
      </w:pPr>
      <w:r>
        <w:t>Possibilité de présenter pour l’accord-cadre plusieurs offres en agissant à la fois en qualité de candidats individuels et de membres d’un ou plusieurs groupements :</w:t>
      </w:r>
    </w:p>
    <w:p w14:paraId="24E5E2A8" w14:textId="77777777" w:rsidR="006F6BCF" w:rsidRDefault="00766059">
      <w:pPr>
        <w:pStyle w:val="RedaliaRetrait2avecpuce"/>
      </w:pPr>
      <w:r>
        <w:rPr>
          <w:rFonts w:ascii="Wingdings" w:eastAsia="Wingdings" w:hAnsi="Wingdings" w:cs="Wingdings"/>
          <w:szCs w:val="22"/>
        </w:rPr>
        <w:t></w:t>
      </w:r>
      <w:r>
        <w:t xml:space="preserve"> Oui</w:t>
      </w:r>
    </w:p>
    <w:p w14:paraId="22350C58" w14:textId="77777777" w:rsidR="006F6BCF" w:rsidRDefault="00766059">
      <w:pPr>
        <w:pStyle w:val="RedaliaRetrait2avecpuce"/>
      </w:pPr>
      <w:r>
        <w:rPr>
          <w:rFonts w:ascii="Wingdings" w:eastAsia="Wingdings" w:hAnsi="Wingdings" w:cs="Wingdings"/>
          <w:szCs w:val="22"/>
        </w:rPr>
        <w:t></w:t>
      </w:r>
      <w:r>
        <w:t xml:space="preserve"> Non</w:t>
      </w:r>
    </w:p>
    <w:p w14:paraId="6827401E" w14:textId="77777777" w:rsidR="006F6BCF" w:rsidRDefault="00766059">
      <w:pPr>
        <w:pStyle w:val="RedaliaNormal"/>
      </w:pPr>
      <w:r>
        <w:t>Ou en qualité de membres de plusieurs groupements :</w:t>
      </w:r>
    </w:p>
    <w:p w14:paraId="44D3A8EC" w14:textId="77777777" w:rsidR="006F6BCF" w:rsidRDefault="00766059">
      <w:pPr>
        <w:pStyle w:val="RedaliaRetrait2avecpuce"/>
      </w:pPr>
      <w:r>
        <w:rPr>
          <w:rFonts w:ascii="Wingdings" w:eastAsia="Wingdings" w:hAnsi="Wingdings" w:cs="Wingdings"/>
          <w:szCs w:val="22"/>
        </w:rPr>
        <w:t></w:t>
      </w:r>
      <w:r>
        <w:t xml:space="preserve"> Oui</w:t>
      </w:r>
    </w:p>
    <w:p w14:paraId="07044067" w14:textId="77777777" w:rsidR="006F6BCF" w:rsidRDefault="00766059">
      <w:pPr>
        <w:pStyle w:val="RedaliaRetrait2avecpuce"/>
      </w:pPr>
      <w:r>
        <w:rPr>
          <w:rFonts w:ascii="Wingdings" w:eastAsia="Wingdings" w:hAnsi="Wingdings" w:cs="Wingdings"/>
          <w:szCs w:val="22"/>
        </w:rPr>
        <w:t></w:t>
      </w:r>
      <w:r>
        <w:t xml:space="preserve"> Non</w:t>
      </w:r>
    </w:p>
    <w:p w14:paraId="49275AA7" w14:textId="77777777" w:rsidR="006F6BCF" w:rsidRDefault="00766059">
      <w:pPr>
        <w:pStyle w:val="RedaliaTitre2"/>
      </w:pPr>
      <w:bookmarkStart w:id="23" w:name="_Toc79070494"/>
      <w:bookmarkStart w:id="24" w:name="_Toc204789928"/>
      <w:r>
        <w:t>Contenu du dossier de consultation</w:t>
      </w:r>
      <w:bookmarkEnd w:id="23"/>
      <w:bookmarkEnd w:id="24"/>
    </w:p>
    <w:p w14:paraId="05CD8B18" w14:textId="77777777" w:rsidR="006F6BCF" w:rsidRDefault="00766059">
      <w:pPr>
        <w:pStyle w:val="RedaliaNormal"/>
      </w:pPr>
      <w:r>
        <w:t>Le dossier de consultation des entreprises comprend les pièces suivantes :</w:t>
      </w:r>
    </w:p>
    <w:p w14:paraId="395DC3B4" w14:textId="77777777" w:rsidR="00472D98" w:rsidRDefault="00472D98" w:rsidP="00472D98">
      <w:pPr>
        <w:pStyle w:val="Titre3"/>
      </w:pPr>
      <w:r>
        <w:t xml:space="preserve">Pièces communes aux deux lots : </w:t>
      </w:r>
    </w:p>
    <w:p w14:paraId="5D299BC4" w14:textId="77777777" w:rsidR="006F6BCF" w:rsidRDefault="00472D98">
      <w:pPr>
        <w:pStyle w:val="RedaliaRetraitavecpuce"/>
        <w:numPr>
          <w:ilvl w:val="0"/>
          <w:numId w:val="18"/>
        </w:numPr>
      </w:pPr>
      <w:r>
        <w:t>Le présent Règlement de la C</w:t>
      </w:r>
      <w:r w:rsidR="00766059">
        <w:t>onsultation.</w:t>
      </w:r>
      <w:r>
        <w:t xml:space="preserve"> (RC)</w:t>
      </w:r>
    </w:p>
    <w:p w14:paraId="2049A411" w14:textId="77777777" w:rsidR="006F6BCF" w:rsidRDefault="00766059">
      <w:pPr>
        <w:pStyle w:val="RedaliaRetraitavecpuce"/>
        <w:numPr>
          <w:ilvl w:val="0"/>
          <w:numId w:val="8"/>
        </w:numPr>
      </w:pPr>
      <w:r>
        <w:t>Le Contrat relatif à l’Accord-Cadre et ses annexes éventuelles.</w:t>
      </w:r>
    </w:p>
    <w:p w14:paraId="4427EF4D" w14:textId="77777777" w:rsidR="006F6BCF" w:rsidRDefault="00766059">
      <w:pPr>
        <w:pStyle w:val="RedaliaRetraitavecpuce"/>
        <w:numPr>
          <w:ilvl w:val="0"/>
          <w:numId w:val="8"/>
        </w:numPr>
      </w:pPr>
      <w:r>
        <w:lastRenderedPageBreak/>
        <w:t>Le Cahier de Clauses Techniques Particulières (C.C.T.P) relatif à l’accord-cadre et ses annexes éventuelles.</w:t>
      </w:r>
    </w:p>
    <w:p w14:paraId="4B142F9E" w14:textId="77777777" w:rsidR="006F6BCF" w:rsidRDefault="00766059">
      <w:pPr>
        <w:pStyle w:val="Titre3"/>
      </w:pPr>
      <w:r>
        <w:t xml:space="preserve">Pour </w:t>
      </w:r>
      <w:r w:rsidR="00472D98">
        <w:t>chacun des lots</w:t>
      </w:r>
      <w:r>
        <w:t> :</w:t>
      </w:r>
    </w:p>
    <w:p w14:paraId="6073A7A6" w14:textId="77777777" w:rsidR="00472D98" w:rsidRPr="00472D98" w:rsidRDefault="00472D98" w:rsidP="00472D98">
      <w:pPr>
        <w:pStyle w:val="RedaliaRetraitavecpuce"/>
        <w:numPr>
          <w:ilvl w:val="0"/>
          <w:numId w:val="8"/>
        </w:numPr>
      </w:pPr>
      <w:r>
        <w:t>La fiche de Candidature (</w:t>
      </w:r>
      <w:r w:rsidRPr="00A672AC">
        <w:rPr>
          <w:b/>
          <w:bCs/>
        </w:rPr>
        <w:t>Une pour chaque lot</w:t>
      </w:r>
      <w:r>
        <w:t>)</w:t>
      </w:r>
    </w:p>
    <w:p w14:paraId="4FF370AF" w14:textId="77777777" w:rsidR="006F6BCF" w:rsidRDefault="00766059">
      <w:pPr>
        <w:pStyle w:val="RedaliaRetraitavecpuce"/>
        <w:numPr>
          <w:ilvl w:val="0"/>
          <w:numId w:val="8"/>
        </w:numPr>
      </w:pPr>
      <w:r>
        <w:t xml:space="preserve">Le cadre de bordereau des prix unitaires </w:t>
      </w:r>
      <w:r w:rsidR="00C01E15">
        <w:t>(Lot 01 et Lot 02)</w:t>
      </w:r>
    </w:p>
    <w:p w14:paraId="4936BA32" w14:textId="77777777" w:rsidR="006F6BCF" w:rsidRDefault="00766059">
      <w:pPr>
        <w:pStyle w:val="RedaliaRetraitavecpuce"/>
        <w:numPr>
          <w:ilvl w:val="0"/>
          <w:numId w:val="8"/>
        </w:numPr>
      </w:pPr>
      <w:r>
        <w:t xml:space="preserve">Le </w:t>
      </w:r>
      <w:r w:rsidR="00F60341">
        <w:t>D</w:t>
      </w:r>
      <w:r>
        <w:t>étail</w:t>
      </w:r>
      <w:r w:rsidR="00F60341">
        <w:t xml:space="preserve"> Quantitatif E</w:t>
      </w:r>
      <w:r>
        <w:t>stimatif</w:t>
      </w:r>
      <w:r w:rsidR="00F60341">
        <w:t xml:space="preserve"> (DQE)</w:t>
      </w:r>
      <w:r w:rsidR="00C01E15">
        <w:t xml:space="preserve"> (Lot 01 et Lot 02)</w:t>
      </w:r>
    </w:p>
    <w:p w14:paraId="5391FB16" w14:textId="77777777" w:rsidR="000F6451" w:rsidRDefault="000F6451" w:rsidP="000F6451">
      <w:pPr>
        <w:pStyle w:val="RedaliaRetraitavecpuce"/>
      </w:pPr>
    </w:p>
    <w:p w14:paraId="225A5C8D" w14:textId="77777777" w:rsidR="006F6BCF" w:rsidRDefault="00766059">
      <w:pPr>
        <w:pStyle w:val="RedaliaTitre2"/>
      </w:pPr>
      <w:bookmarkStart w:id="25" w:name="_Toc204789929"/>
      <w:r>
        <w:t>Modification du DCE</w:t>
      </w:r>
      <w:bookmarkEnd w:id="25"/>
    </w:p>
    <w:p w14:paraId="7F9D53BA" w14:textId="77777777" w:rsidR="006F6BCF" w:rsidRDefault="00766059">
      <w:pPr>
        <w:pStyle w:val="RedaliaNormal"/>
      </w:pPr>
      <w:r>
        <w:t xml:space="preserve">L'AFD se réserve le droit d'apporter au plus tard </w:t>
      </w:r>
      <w:r w:rsidR="000F6451">
        <w:rPr>
          <w:b/>
          <w:bCs/>
        </w:rPr>
        <w:t>6</w:t>
      </w:r>
      <w:r>
        <w:rPr>
          <w:b/>
          <w:bCs/>
        </w:rPr>
        <w:t xml:space="preserve"> jours</w:t>
      </w:r>
      <w:r>
        <w:t xml:space="preserve"> avant la date limite fixée pour la remise des offres, des modifications de détail au DCE.</w:t>
      </w:r>
    </w:p>
    <w:p w14:paraId="51A203DA" w14:textId="77777777" w:rsidR="000F6451" w:rsidRDefault="000F6451">
      <w:pPr>
        <w:pStyle w:val="RedaliaNormal"/>
      </w:pPr>
    </w:p>
    <w:p w14:paraId="4F7A90A5" w14:textId="77777777" w:rsidR="006F6BCF" w:rsidRDefault="00766059">
      <w:pPr>
        <w:pStyle w:val="RedaliaNormal"/>
      </w:pPr>
      <w:r>
        <w:t>Les soumissionnaires devront alors répondre sur la base du dossier modifié sans pouvoir élever aucune réclamation à ce sujet.</w:t>
      </w:r>
    </w:p>
    <w:p w14:paraId="2C0BEA9A" w14:textId="77777777" w:rsidR="000F6451" w:rsidRDefault="000F6451">
      <w:pPr>
        <w:pStyle w:val="RedaliaNormal"/>
      </w:pPr>
    </w:p>
    <w:p w14:paraId="6033D58F" w14:textId="77777777" w:rsidR="006F6BCF" w:rsidRDefault="00766059">
      <w:pPr>
        <w:pStyle w:val="RedaliaNormal"/>
      </w:pPr>
      <w:r>
        <w:t>Si pendant l'étude du dossier par les candidats la date limite ci-dessus est reportée, la disposition précédente est applicable en fonction de cette nouvelle date.</w:t>
      </w:r>
    </w:p>
    <w:p w14:paraId="3F94B0F5" w14:textId="77777777" w:rsidR="000F6451" w:rsidRDefault="000F6451">
      <w:pPr>
        <w:pStyle w:val="RedaliaNormal"/>
      </w:pPr>
    </w:p>
    <w:p w14:paraId="465570F5" w14:textId="77777777" w:rsidR="006F6BCF" w:rsidRDefault="00766059">
      <w:pPr>
        <w:pStyle w:val="RedaliaTitre2"/>
      </w:pPr>
      <w:bookmarkStart w:id="26" w:name="_Toc79070497"/>
      <w:bookmarkStart w:id="27" w:name="_Toc204789930"/>
      <w:r>
        <w:t>Délai de validité des offres</w:t>
      </w:r>
      <w:bookmarkEnd w:id="26"/>
      <w:bookmarkEnd w:id="4"/>
      <w:bookmarkEnd w:id="27"/>
    </w:p>
    <w:p w14:paraId="56DB4B8E" w14:textId="77777777" w:rsidR="006F6BCF" w:rsidRDefault="00766059">
      <w:pPr>
        <w:pStyle w:val="RedaliaNormal"/>
      </w:pPr>
      <w:r>
        <w:t>Le délai d</w:t>
      </w:r>
      <w:r w:rsidR="000F6451">
        <w:t xml:space="preserve">e validité des offres est de </w:t>
      </w:r>
      <w:r w:rsidR="000F6451" w:rsidRPr="002F48B1">
        <w:t>180</w:t>
      </w:r>
      <w:r w:rsidRPr="002F48B1">
        <w:t xml:space="preserve"> jours</w:t>
      </w:r>
      <w:r>
        <w:t xml:space="preserve"> à compter de la date limite de remise de l’offre finale.</w:t>
      </w:r>
    </w:p>
    <w:p w14:paraId="35EE7DA6" w14:textId="77777777" w:rsidR="006F6BCF" w:rsidRDefault="00766059">
      <w:pPr>
        <w:pStyle w:val="RedaliaTitre1"/>
      </w:pPr>
      <w:bookmarkStart w:id="28" w:name="_Toc79070498"/>
      <w:bookmarkStart w:id="29" w:name="_Toc204789931"/>
      <w:r>
        <w:t>Durée de l’accord-cadre – Reconduction – Délais d’exécution</w:t>
      </w:r>
      <w:bookmarkEnd w:id="28"/>
      <w:bookmarkEnd w:id="29"/>
    </w:p>
    <w:p w14:paraId="195714D6" w14:textId="77777777" w:rsidR="006F6BCF" w:rsidRDefault="00766059">
      <w:pPr>
        <w:pStyle w:val="RedaliaNormal"/>
      </w:pPr>
      <w:r>
        <w:t>La durée de l’accord-cadre et les délais d’exécution figurent au Contrat.</w:t>
      </w:r>
    </w:p>
    <w:p w14:paraId="3CC70CD1" w14:textId="77777777" w:rsidR="000F6451" w:rsidRDefault="000F6451">
      <w:pPr>
        <w:pStyle w:val="RedaliaNormal"/>
      </w:pPr>
    </w:p>
    <w:p w14:paraId="3B4374CF" w14:textId="77777777" w:rsidR="006F6BCF" w:rsidRDefault="00766059">
      <w:pPr>
        <w:pStyle w:val="RedaliaNormal"/>
      </w:pPr>
      <w:r>
        <w:t>L’accord-cadre pourra être reconduit dans les conditions définies au Contrat.</w:t>
      </w:r>
    </w:p>
    <w:p w14:paraId="25E4FC99" w14:textId="77777777" w:rsidR="006F6BCF" w:rsidRDefault="00766059">
      <w:pPr>
        <w:pStyle w:val="RedaliaTitre1"/>
      </w:pPr>
      <w:bookmarkStart w:id="30" w:name="_Toc79070499"/>
      <w:bookmarkStart w:id="31" w:name="_Toc204789932"/>
      <w:r>
        <w:t>Retrait du dossier de consultation</w:t>
      </w:r>
      <w:bookmarkEnd w:id="30"/>
      <w:bookmarkEnd w:id="31"/>
    </w:p>
    <w:p w14:paraId="5CBB336D" w14:textId="77777777" w:rsidR="006F6BCF" w:rsidRDefault="00766059">
      <w:pPr>
        <w:pStyle w:val="RedaliaNormal"/>
      </w:pPr>
      <w:r>
        <w:t>Le pouvoir adjudicateur informe les candidats que le dossier de consultation est dématérialisé.</w:t>
      </w:r>
    </w:p>
    <w:p w14:paraId="14B0BF22" w14:textId="77777777" w:rsidR="006F6BCF" w:rsidRDefault="00766059">
      <w:pPr>
        <w:pStyle w:val="RedaliaNormal"/>
      </w:pPr>
      <w:r>
        <w:t>Le Dossier de Consultation des Entreprises (DCE) peut être consulté et téléchargé gratuitement à l’adresse suivante :</w:t>
      </w:r>
    </w:p>
    <w:p w14:paraId="5BA1295B" w14:textId="77777777" w:rsidR="006F6BCF" w:rsidRDefault="00766059">
      <w:pPr>
        <w:pStyle w:val="RedaliaNormal"/>
        <w:jc w:val="center"/>
      </w:pPr>
      <w:r>
        <w:t>https://www.marches-publics.gouv.fr/</w:t>
      </w:r>
    </w:p>
    <w:p w14:paraId="50BC7621" w14:textId="77777777" w:rsidR="006F6BCF" w:rsidRDefault="006F6BCF">
      <w:pPr>
        <w:pStyle w:val="RedaliaNormal"/>
      </w:pPr>
    </w:p>
    <w:p w14:paraId="690CA34E" w14:textId="77777777" w:rsidR="006F6BCF" w:rsidRDefault="00766059">
      <w:pPr>
        <w:pStyle w:val="RedaliaNormal"/>
      </w:pPr>
      <w:r>
        <w:t>Afin de pouvoir décompresser et lire les documents mis à disposition par le pouvoir adjudicateur, les opérateurs économiques devront disposer des logiciels permettant de lire les formats suivants :</w:t>
      </w:r>
    </w:p>
    <w:p w14:paraId="24E1E6F1" w14:textId="77777777" w:rsidR="006F6BCF" w:rsidRDefault="00766059">
      <w:pPr>
        <w:pStyle w:val="RedaliaRetraitavecpuce"/>
        <w:numPr>
          <w:ilvl w:val="0"/>
          <w:numId w:val="8"/>
        </w:numPr>
      </w:pPr>
      <w:r>
        <w:t xml:space="preserve">Fichiers compressés au standard *.zip (lisibles par </w:t>
      </w:r>
      <w:proofErr w:type="spellStart"/>
      <w:r>
        <w:t>Winzip</w:t>
      </w:r>
      <w:proofErr w:type="spellEnd"/>
      <w:r>
        <w:t xml:space="preserve">, </w:t>
      </w:r>
      <w:proofErr w:type="spellStart"/>
      <w:r>
        <w:t>Quickzip</w:t>
      </w:r>
      <w:proofErr w:type="spellEnd"/>
      <w:r>
        <w:t>) ;</w:t>
      </w:r>
    </w:p>
    <w:p w14:paraId="09656BD8" w14:textId="77777777" w:rsidR="006F6BCF" w:rsidRDefault="00766059">
      <w:pPr>
        <w:pStyle w:val="RedaliaRetraitavecpuce"/>
        <w:numPr>
          <w:ilvl w:val="0"/>
          <w:numId w:val="8"/>
        </w:numPr>
      </w:pPr>
      <w:r>
        <w:t>Adobe® Acrobat® *.</w:t>
      </w:r>
      <w:proofErr w:type="spellStart"/>
      <w:r>
        <w:t>pdf</w:t>
      </w:r>
      <w:proofErr w:type="spellEnd"/>
      <w:r>
        <w:t xml:space="preserve"> (lisibles par le logiciel Adobe Reader) ;</w:t>
      </w:r>
    </w:p>
    <w:p w14:paraId="12E6EB1A" w14:textId="77777777" w:rsidR="006F6BCF" w:rsidRDefault="00766059">
      <w:pPr>
        <w:pStyle w:val="RedaliaRetraitavecpuce"/>
        <w:numPr>
          <w:ilvl w:val="0"/>
          <w:numId w:val="8"/>
        </w:numPr>
      </w:pPr>
      <w:r>
        <w:t>*.doc ou *.</w:t>
      </w:r>
      <w:proofErr w:type="spellStart"/>
      <w:r>
        <w:t>xls</w:t>
      </w:r>
      <w:proofErr w:type="spellEnd"/>
      <w:r>
        <w:t xml:space="preserve"> version 2000-2003 (lisibles par Microsoft Office ou OpenOffice) ;</w:t>
      </w:r>
    </w:p>
    <w:p w14:paraId="3FD60FAC" w14:textId="77777777" w:rsidR="006F6BCF" w:rsidRDefault="00766059">
      <w:pPr>
        <w:pStyle w:val="RedaliaRetraitavecpuce"/>
        <w:numPr>
          <w:ilvl w:val="0"/>
          <w:numId w:val="8"/>
        </w:numPr>
      </w:pPr>
      <w:r>
        <w:t xml:space="preserve">Rich </w:t>
      </w:r>
      <w:proofErr w:type="spellStart"/>
      <w:r>
        <w:t>Text</w:t>
      </w:r>
      <w:proofErr w:type="spellEnd"/>
      <w:r>
        <w:t xml:space="preserve"> Format *.</w:t>
      </w:r>
      <w:proofErr w:type="spellStart"/>
      <w:r>
        <w:t>rtf</w:t>
      </w:r>
      <w:proofErr w:type="spellEnd"/>
      <w:r>
        <w:t> ;</w:t>
      </w:r>
    </w:p>
    <w:p w14:paraId="1224216A" w14:textId="77777777" w:rsidR="006F6BCF" w:rsidRDefault="00766059">
      <w:pPr>
        <w:pStyle w:val="RedaliaRetraitavecpuce"/>
        <w:numPr>
          <w:ilvl w:val="0"/>
          <w:numId w:val="8"/>
        </w:numPr>
      </w:pPr>
      <w:r>
        <w:t xml:space="preserve">Le cas échéant le format DWF (lisibles par les logiciels </w:t>
      </w:r>
      <w:proofErr w:type="spellStart"/>
      <w:r>
        <w:t>Autocad</w:t>
      </w:r>
      <w:proofErr w:type="spellEnd"/>
      <w:r>
        <w:t xml:space="preserve">, ou des visionneuses telles que Autodesk DWF </w:t>
      </w:r>
      <w:proofErr w:type="spellStart"/>
      <w:r>
        <w:t>viewer</w:t>
      </w:r>
      <w:proofErr w:type="spellEnd"/>
      <w:r>
        <w:t>…).</w:t>
      </w:r>
    </w:p>
    <w:p w14:paraId="0F229084" w14:textId="77777777" w:rsidR="006F6BCF" w:rsidRDefault="006F6BCF">
      <w:pPr>
        <w:pStyle w:val="RedaliaNormal"/>
      </w:pPr>
    </w:p>
    <w:p w14:paraId="3C0EC37D" w14:textId="77777777" w:rsidR="006F6BCF" w:rsidRDefault="00766059">
      <w:pPr>
        <w:pStyle w:val="RedaliaNormal"/>
      </w:pPr>
      <w:r>
        <w:lastRenderedPageBreak/>
        <w:t>Lors du téléchargement du dossier de consultation, il est recommandé à l’entreprise de créer un compte sur la plateforme de dématérialisation où il renseignera notamment le nom de l’organisme soumissionnaire, et une adresse électronique afin de la tenir informée des modifications éventuelles intervenant en cours d’une procédure (ajout d’une pièce au DCE, envoi d’une liste de réponses aux questions reçues…).</w:t>
      </w:r>
    </w:p>
    <w:p w14:paraId="1D6E5A58" w14:textId="77777777" w:rsidR="006F6BCF" w:rsidRDefault="006F6BCF">
      <w:pPr>
        <w:pStyle w:val="RedaliaNormal"/>
      </w:pPr>
    </w:p>
    <w:p w14:paraId="2D8CA3D5" w14:textId="77777777" w:rsidR="006F6BCF" w:rsidRDefault="00766059">
      <w:pPr>
        <w:pStyle w:val="RedaliaNormal"/>
      </w:pPr>
      <w:r>
        <w:t>Le candidat est informé que seul l’exemplaire du dossier de consultation détenu par le pouvoir adjudicateur fait foi.</w:t>
      </w:r>
    </w:p>
    <w:p w14:paraId="0775EF42" w14:textId="77777777" w:rsidR="006F6BCF" w:rsidRDefault="00C01E15">
      <w:pPr>
        <w:pStyle w:val="RedaliaTitre1"/>
      </w:pPr>
      <w:bookmarkStart w:id="32" w:name="_Toc204789933"/>
      <w:r>
        <w:t>Dispositions spécifiques à la phase Candidature</w:t>
      </w:r>
      <w:bookmarkEnd w:id="32"/>
    </w:p>
    <w:p w14:paraId="52687863" w14:textId="77777777" w:rsidR="006F6BCF" w:rsidRDefault="00766059">
      <w:pPr>
        <w:pStyle w:val="RedaliaNormal"/>
      </w:pPr>
      <w:r>
        <w:rPr>
          <w:b/>
          <w:bCs/>
          <w:u w:val="single"/>
        </w:rPr>
        <w:t>Les candidats auront à produire</w:t>
      </w:r>
      <w:r>
        <w:rPr>
          <w:b/>
          <w:bCs/>
        </w:rPr>
        <w:t xml:space="preserve"> les pièces ci-dessous définies rédigées en langue française</w:t>
      </w:r>
      <w:r>
        <w:t>.</w:t>
      </w:r>
    </w:p>
    <w:p w14:paraId="0CDF5DC3" w14:textId="77777777" w:rsidR="000F6451" w:rsidRDefault="000F6451">
      <w:pPr>
        <w:pStyle w:val="RedaliaNormal"/>
      </w:pPr>
    </w:p>
    <w:p w14:paraId="701CB59D" w14:textId="77777777" w:rsidR="006F6BCF" w:rsidRDefault="00766059">
      <w:pPr>
        <w:pStyle w:val="RedaliaNormal"/>
        <w:rPr>
          <w:b/>
        </w:rPr>
      </w:pPr>
      <w:r>
        <w:rPr>
          <w:b/>
        </w:rPr>
        <w:t>Les éléments nécessaires à la candidature définis ci-dessous sont produits lors de la phase de sélection des candidatures.</w:t>
      </w:r>
    </w:p>
    <w:p w14:paraId="18703595" w14:textId="77777777" w:rsidR="006F6BCF" w:rsidRDefault="006F6BCF">
      <w:pPr>
        <w:pStyle w:val="RedaliaNormal"/>
        <w:rPr>
          <w:b/>
        </w:rPr>
      </w:pPr>
    </w:p>
    <w:p w14:paraId="23C45E30" w14:textId="77777777" w:rsidR="006F6BCF" w:rsidRDefault="00766059">
      <w:pPr>
        <w:pStyle w:val="RedaliaTitre2"/>
      </w:pPr>
      <w:bookmarkStart w:id="33" w:name="_Toc204789934"/>
      <w:r>
        <w:t>Éléments nécessaires à la sélection des candidatures</w:t>
      </w:r>
      <w:bookmarkEnd w:id="33"/>
    </w:p>
    <w:p w14:paraId="3F5E0EBC" w14:textId="11FBF2AA" w:rsidR="006F6BCF" w:rsidRDefault="00766059">
      <w:pPr>
        <w:pStyle w:val="RedaliaNormal"/>
      </w:pPr>
      <w:r>
        <w:t xml:space="preserve">Chaque candidat devra produire le </w:t>
      </w:r>
      <w:r w:rsidRPr="00F60341">
        <w:rPr>
          <w:b/>
          <w:u w:val="single"/>
        </w:rPr>
        <w:t>formulaire de candidature</w:t>
      </w:r>
      <w:r w:rsidR="00A84F86" w:rsidRPr="00F60341">
        <w:rPr>
          <w:b/>
          <w:u w:val="single"/>
        </w:rPr>
        <w:t xml:space="preserve"> </w:t>
      </w:r>
      <w:r w:rsidR="00A84F86" w:rsidRPr="007B47C7">
        <w:rPr>
          <w:b/>
          <w:sz w:val="28"/>
          <w:szCs w:val="28"/>
          <w:u w:val="single"/>
        </w:rPr>
        <w:t>par lot</w:t>
      </w:r>
      <w:r w:rsidR="00A84F86" w:rsidRPr="007B47C7">
        <w:rPr>
          <w:sz w:val="26"/>
        </w:rPr>
        <w:t xml:space="preserve"> </w:t>
      </w:r>
      <w:r w:rsidR="00A84F86" w:rsidRPr="007B47C7">
        <w:t>auquel le groupement souhaite faire une offre</w:t>
      </w:r>
      <w:r w:rsidRPr="007B47C7">
        <w:t xml:space="preserve"> joint</w:t>
      </w:r>
      <w:r w:rsidR="00A672AC">
        <w:t>e</w:t>
      </w:r>
      <w:r w:rsidRPr="007B47C7">
        <w:t xml:space="preserve"> en annexe du présent document, auquel seront joint les documents suivants :</w:t>
      </w:r>
    </w:p>
    <w:p w14:paraId="16681E16" w14:textId="77777777" w:rsidR="000F6451" w:rsidRDefault="000F6451">
      <w:pPr>
        <w:pStyle w:val="RedaliaNormal"/>
      </w:pPr>
    </w:p>
    <w:p w14:paraId="3356F906" w14:textId="77777777" w:rsidR="006F6BCF" w:rsidRDefault="00766059">
      <w:pPr>
        <w:pStyle w:val="RedaliaNormal"/>
      </w:pPr>
      <w:r>
        <w:t xml:space="preserve"> - </w:t>
      </w:r>
      <w:r w:rsidRPr="000F6451">
        <w:rPr>
          <w:b/>
          <w:u w:val="single"/>
        </w:rPr>
        <w:t>Déclaration sur l'honneur</w:t>
      </w:r>
      <w:r>
        <w:t xml:space="preserve"> justifiant que le candidat n'entre dans aucun des cas mentionnés aux articles L. 2141-1 à L. 2141-5 ou aux articles L. 2141-7 à L. 2141-10 du Code de la commande publique (document en annexe)</w:t>
      </w:r>
    </w:p>
    <w:p w14:paraId="2A9C3C83" w14:textId="77777777" w:rsidR="006F6BCF" w:rsidRPr="000F6451" w:rsidRDefault="00766059">
      <w:pPr>
        <w:pStyle w:val="RedaliaNormal"/>
        <w:rPr>
          <w:b/>
          <w:u w:val="single"/>
        </w:rPr>
      </w:pPr>
      <w:r>
        <w:t xml:space="preserve">- Le cas échéant, le(s) document(s) relatif(s) aux </w:t>
      </w:r>
      <w:r w:rsidRPr="000F6451">
        <w:rPr>
          <w:b/>
          <w:u w:val="single"/>
        </w:rPr>
        <w:t>pouvoirs</w:t>
      </w:r>
      <w:r>
        <w:t xml:space="preserve"> de la personne habilitée à </w:t>
      </w:r>
      <w:r w:rsidRPr="000F6451">
        <w:rPr>
          <w:b/>
          <w:u w:val="single"/>
        </w:rPr>
        <w:t>engager l'entreprise</w:t>
      </w:r>
    </w:p>
    <w:p w14:paraId="46CA458E" w14:textId="77777777" w:rsidR="006F6BCF" w:rsidRDefault="00766059">
      <w:pPr>
        <w:pStyle w:val="RedaliaNormal"/>
      </w:pPr>
      <w:r>
        <w:t xml:space="preserve">- En cas de groupement, le document </w:t>
      </w:r>
      <w:r w:rsidRPr="000F6451">
        <w:rPr>
          <w:b/>
          <w:u w:val="single"/>
        </w:rPr>
        <w:t>d'habilitation du mandataire</w:t>
      </w:r>
      <w:r>
        <w:t xml:space="preserve"> signé par les membres du groupement</w:t>
      </w:r>
    </w:p>
    <w:p w14:paraId="58DB3BDD" w14:textId="77777777" w:rsidR="006F6BCF" w:rsidRDefault="00766059">
      <w:pPr>
        <w:pStyle w:val="RedaliaNormal"/>
      </w:pPr>
      <w:r>
        <w:t xml:space="preserve">- En cas de sous-traitance, la </w:t>
      </w:r>
      <w:r w:rsidRPr="000F6451">
        <w:rPr>
          <w:b/>
          <w:u w:val="single"/>
        </w:rPr>
        <w:t>déclaration de sous-traitance</w:t>
      </w:r>
      <w:r>
        <w:t xml:space="preserve"> (modèle joint au Contrat Unique)</w:t>
      </w:r>
    </w:p>
    <w:p w14:paraId="6D9480F9" w14:textId="77777777" w:rsidR="006F6BCF" w:rsidRDefault="006F6BCF">
      <w:pPr>
        <w:pStyle w:val="RedaliaNormal"/>
      </w:pPr>
    </w:p>
    <w:p w14:paraId="7524BBAD" w14:textId="77777777" w:rsidR="006F6BCF" w:rsidRDefault="00766059">
      <w:pPr>
        <w:pStyle w:val="RedaliaNormal"/>
      </w:pPr>
      <w:r>
        <w:t>Le candidat pourra prouver sa capacité financière par tout autre document considéré comme équivalent par le pouvoir adjudicateur s’il est objectivement dans l’impossibilité de produire l’un des renseignements demandés relatifs à sa capacité financière.</w:t>
      </w:r>
    </w:p>
    <w:p w14:paraId="1D40D95B" w14:textId="77777777" w:rsidR="00A84F86" w:rsidRDefault="00A84F86">
      <w:pPr>
        <w:pStyle w:val="RedaliaNormal"/>
      </w:pPr>
    </w:p>
    <w:p w14:paraId="5BDF3520" w14:textId="77777777" w:rsidR="006F6BCF" w:rsidRDefault="00766059">
      <w:pPr>
        <w:pStyle w:val="RedaliaNormal"/>
      </w:pPr>
      <w:r>
        <w:t>Si, pour justifier de ses capacités, le candidat souhaite faire prévaloir les capacités professionnelles, techniques et financières d’un autre intervenant quel qu’il soit, il devra produire les pièces relatives à cet intervenant visées au présent article ci-dessus. Il devra également justifier qu’il disposera des capacités de cet intervenant pour l’exécution de l’accord-cadre par un engagement écrit de l’intervenant.</w:t>
      </w:r>
    </w:p>
    <w:p w14:paraId="1D05E7E4" w14:textId="77777777" w:rsidR="006F6BCF" w:rsidRDefault="006F6BCF">
      <w:pPr>
        <w:pStyle w:val="RedaliaNormal"/>
      </w:pPr>
    </w:p>
    <w:p w14:paraId="069DD273" w14:textId="77777777" w:rsidR="006F6BCF" w:rsidRDefault="00766059">
      <w:pPr>
        <w:pStyle w:val="RedaliaNormal"/>
      </w:pPr>
      <w:r>
        <w:t>En vertu de l’article R. 2143-16 du Code de la commande publique, dans le cadre de leur candidature, il est exigé que les candidats joignent une traduction en français aux éléments rédigés dans une autre langue.</w:t>
      </w:r>
    </w:p>
    <w:p w14:paraId="6F9F373A" w14:textId="77777777" w:rsidR="006F6BCF" w:rsidRDefault="006F6BCF">
      <w:pPr>
        <w:pStyle w:val="RedaliaNormal"/>
      </w:pPr>
    </w:p>
    <w:p w14:paraId="4A16A7C7" w14:textId="77777777" w:rsidR="006F6BCF" w:rsidRDefault="00766059">
      <w:pPr>
        <w:pStyle w:val="RedaliaNormal"/>
      </w:pPr>
      <w:r>
        <w:t>Il est porté à l’attention des candidats que, conformément aux dispositions de l’article R. 2143-13 du Code de la commande publique, ils ne sont pas tenus de fournir les documents justificatifs et moyens de preuve que l’acheteur peut obtenir directement par le biais :</w:t>
      </w:r>
    </w:p>
    <w:p w14:paraId="622F52EF" w14:textId="77777777" w:rsidR="001B04DE" w:rsidRDefault="001B04DE">
      <w:pPr>
        <w:pStyle w:val="RedaliaNormal"/>
      </w:pPr>
    </w:p>
    <w:p w14:paraId="4C8D8C44" w14:textId="77777777" w:rsidR="006F6BCF" w:rsidRDefault="00766059" w:rsidP="00C01E15">
      <w:pPr>
        <w:pStyle w:val="RedaliaRetraitavecpuce"/>
        <w:numPr>
          <w:ilvl w:val="0"/>
          <w:numId w:val="8"/>
        </w:numPr>
      </w:pPr>
      <w:r>
        <w:t>D'un système électronique de mise à disposition d'informations administré par un organisme officiel à condition que l'accès à celui-ci soit gratuit et, le cas échéant, que figurent dans le dossier de candidature toutes les informations nécessaires à sa consultation ;</w:t>
      </w:r>
    </w:p>
    <w:p w14:paraId="6D4AE6B1" w14:textId="77777777" w:rsidR="006F6BCF" w:rsidRDefault="00766059" w:rsidP="00C01E15">
      <w:pPr>
        <w:pStyle w:val="RedaliaRetraitavecpuce"/>
        <w:numPr>
          <w:ilvl w:val="0"/>
          <w:numId w:val="8"/>
        </w:numPr>
      </w:pPr>
      <w:r>
        <w:t>D'un espace de stockage numérique, à condition que figurent dans le dossier de candidature toutes les informations nécessaires à sa consultation et que l'accès à ceux-ci soit gratuit.</w:t>
      </w:r>
    </w:p>
    <w:p w14:paraId="6D80F3E8" w14:textId="77777777" w:rsidR="006F6BCF" w:rsidRDefault="006F6BCF">
      <w:pPr>
        <w:pStyle w:val="RedaliaNormal"/>
      </w:pPr>
    </w:p>
    <w:p w14:paraId="071A02CC" w14:textId="77777777" w:rsidR="006F6BCF" w:rsidRDefault="00766059">
      <w:pPr>
        <w:pStyle w:val="RedaliaNormal"/>
      </w:pPr>
      <w:r>
        <w:t>De plus, conformément aux dispositions de l’article R. 2143-14 du Code de la commande publique, les candidats ne sont pas tenus de fournir au pouvoir adjudicateur les documents justificatifs et moyens de preuve qui ont déjà été transmis lors d'une précédente consultation et qui demeurent valables.</w:t>
      </w:r>
    </w:p>
    <w:p w14:paraId="0BE9F4CD" w14:textId="77777777" w:rsidR="006F6BCF" w:rsidRDefault="006F6BCF">
      <w:pPr>
        <w:pStyle w:val="RedaliaNormal"/>
      </w:pPr>
    </w:p>
    <w:p w14:paraId="296101CA" w14:textId="77777777" w:rsidR="006F6BCF" w:rsidRDefault="00766059">
      <w:pPr>
        <w:pStyle w:val="RedaliaNormal"/>
      </w:pPr>
      <w:r>
        <w:t>Enfin, selon les dispositions de l’article R. 2143-4 du Code de la commande publique, le pouvoir adjudicateur accepte que les candidats présentent leur candidature sous la forme d’un document unique de marché européen (DUME) établi conformément au modèle fixé par le règlement de la Commission européenne établissant le formulaire type pour le document unique de marché européen, en lieu et place de la déclaration sur l'honneur et des renseignements mentionnés à l'article R. 2143-3.</w:t>
      </w:r>
    </w:p>
    <w:p w14:paraId="098E6765" w14:textId="77777777" w:rsidR="007569B3" w:rsidRDefault="007569B3">
      <w:pPr>
        <w:pStyle w:val="RedaliaNormal"/>
      </w:pPr>
    </w:p>
    <w:p w14:paraId="37214C55" w14:textId="77777777" w:rsidR="006F6BCF" w:rsidRDefault="00766059">
      <w:pPr>
        <w:pStyle w:val="RedaliaNormal"/>
        <w:rPr>
          <w:rStyle w:val="Lienhypertexte"/>
        </w:rPr>
      </w:pPr>
      <w:r>
        <w:t xml:space="preserve">Les candidats peuvent constituer ou réutiliser un DUME dans sa version électronique via les url suivantes : </w:t>
      </w:r>
      <w:hyperlink r:id="rId11" w:history="1">
        <w:r>
          <w:rPr>
            <w:rStyle w:val="Lienhypertexte"/>
          </w:rPr>
          <w:t>https://ec.europa.eu/tools/espd/</w:t>
        </w:r>
      </w:hyperlink>
      <w:r>
        <w:t xml:space="preserve"> OU </w:t>
      </w:r>
      <w:hyperlink r:id="rId12" w:history="1">
        <w:r>
          <w:rPr>
            <w:rStyle w:val="Lienhypertexte"/>
          </w:rPr>
          <w:t>https://dume.chorus-pro.gouv.fr/</w:t>
        </w:r>
      </w:hyperlink>
    </w:p>
    <w:p w14:paraId="137A2D07" w14:textId="77777777" w:rsidR="007569B3" w:rsidRDefault="007569B3">
      <w:pPr>
        <w:pStyle w:val="RedaliaNormal"/>
      </w:pPr>
    </w:p>
    <w:p w14:paraId="511E1858" w14:textId="77777777" w:rsidR="006F6BCF" w:rsidRDefault="00766059">
      <w:pPr>
        <w:pStyle w:val="RedaliaNormal"/>
      </w:pPr>
      <w:r>
        <w:t>Il est précisé que le pouvoir adjudicateur n’autorise pas les candidats à se limiter à indiquer dans le document unique de marché européen qu’ils disposent de l’aptitude et des capacités requises sans fournir d’informations particulières sur celles-ci.</w:t>
      </w:r>
    </w:p>
    <w:p w14:paraId="0A98C7A8" w14:textId="77777777" w:rsidR="00C01E15" w:rsidRDefault="00C01E15">
      <w:pPr>
        <w:pStyle w:val="RedaliaNormal"/>
      </w:pPr>
    </w:p>
    <w:p w14:paraId="223029C9" w14:textId="77777777" w:rsidR="00C01E15" w:rsidRDefault="00C01E15" w:rsidP="00C01E15">
      <w:pPr>
        <w:pStyle w:val="RedaliaTitre2"/>
      </w:pPr>
      <w:bookmarkStart w:id="34" w:name="_Toc204789935"/>
      <w:r>
        <w:t>Jugement des candidatures</w:t>
      </w:r>
      <w:bookmarkEnd w:id="34"/>
    </w:p>
    <w:p w14:paraId="2CBFCEE0" w14:textId="77777777" w:rsidR="0028502F" w:rsidRDefault="00C01E15" w:rsidP="0028502F">
      <w:pPr>
        <w:pStyle w:val="RedaliaNormal"/>
      </w:pPr>
      <w:r>
        <w:t xml:space="preserve">L'AFD </w:t>
      </w:r>
      <w:r w:rsidR="0028502F">
        <w:t>Les critères intervenant pour la recevabilité des candidatures sont :</w:t>
      </w:r>
    </w:p>
    <w:p w14:paraId="33F5C858" w14:textId="4A7CEA6C" w:rsidR="00F5457E" w:rsidRDefault="00F5457E" w:rsidP="00F5457E">
      <w:pPr>
        <w:pStyle w:val="RedaliaTitre3"/>
      </w:pPr>
      <w:r>
        <w:t>Pour le lot 1 :</w:t>
      </w:r>
      <w:r w:rsidR="007B47C7">
        <w:t xml:space="preserve"> remplir et joindre le formulaire de candidature</w:t>
      </w:r>
    </w:p>
    <w:tbl>
      <w:tblPr>
        <w:tblW w:w="9749" w:type="dxa"/>
        <w:tblInd w:w="169" w:type="dxa"/>
        <w:tblCellMar>
          <w:left w:w="10" w:type="dxa"/>
          <w:right w:w="10" w:type="dxa"/>
        </w:tblCellMar>
        <w:tblLook w:val="04A0" w:firstRow="1" w:lastRow="0" w:firstColumn="1" w:lastColumn="0" w:noHBand="0" w:noVBand="1"/>
      </w:tblPr>
      <w:tblGrid>
        <w:gridCol w:w="8360"/>
        <w:gridCol w:w="1389"/>
      </w:tblGrid>
      <w:tr w:rsidR="0028502F" w14:paraId="59E853FD" w14:textId="77777777" w:rsidTr="00A672AC">
        <w:trPr>
          <w:trHeight w:val="393"/>
        </w:trPr>
        <w:tc>
          <w:tcPr>
            <w:tcW w:w="87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13B181" w14:textId="77777777" w:rsidR="0028502F" w:rsidRDefault="0028502F" w:rsidP="000337BA">
            <w:pPr>
              <w:pStyle w:val="Corpsdetexte"/>
              <w:textAlignment w:val="auto"/>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8DA463" w14:textId="77777777" w:rsidR="0028502F" w:rsidRDefault="0028502F" w:rsidP="000337BA">
            <w:pPr>
              <w:pStyle w:val="Corpsdetexte"/>
              <w:textAlignment w:val="auto"/>
              <w:rPr>
                <w:rFonts w:ascii="Century Gothic" w:hAnsi="Century Gothic" w:cs="Calibri"/>
                <w:b/>
                <w:sz w:val="20"/>
                <w:szCs w:val="22"/>
                <w:lang w:eastAsia="en-US"/>
              </w:rPr>
            </w:pPr>
            <w:r>
              <w:rPr>
                <w:rFonts w:ascii="Century Gothic" w:hAnsi="Century Gothic" w:cs="Calibri"/>
                <w:b/>
                <w:sz w:val="20"/>
                <w:szCs w:val="22"/>
                <w:lang w:eastAsia="en-US"/>
              </w:rPr>
              <w:t>Pondération</w:t>
            </w:r>
          </w:p>
        </w:tc>
      </w:tr>
      <w:tr w:rsidR="00F5457E" w14:paraId="42B14395" w14:textId="77777777" w:rsidTr="00A672AC">
        <w:tc>
          <w:tcPr>
            <w:tcW w:w="87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EAEB93" w14:textId="77777777" w:rsidR="00F5457E" w:rsidRDefault="00F5457E" w:rsidP="00F5457E">
            <w:pPr>
              <w:pStyle w:val="Corpsdetexte"/>
              <w:rPr>
                <w:b/>
                <w:bCs/>
                <w:u w:val="single"/>
                <w:lang w:eastAsia="en-US"/>
              </w:rPr>
            </w:pPr>
            <w:r>
              <w:rPr>
                <w:b/>
                <w:bCs/>
                <w:u w:val="single"/>
                <w:lang w:eastAsia="en-US"/>
              </w:rPr>
              <w:t>Critère 1 – Capacité technique :</w:t>
            </w:r>
          </w:p>
          <w:p w14:paraId="608EDBF5" w14:textId="77777777" w:rsidR="00F5457E" w:rsidRDefault="00F5457E" w:rsidP="00F5457E">
            <w:pPr>
              <w:pStyle w:val="Corpsdetexte"/>
              <w:textAlignment w:val="auto"/>
              <w:rPr>
                <w:lang w:eastAsia="en-US"/>
              </w:rPr>
            </w:pPr>
            <w:r>
              <w:rPr>
                <w:lang w:eastAsia="en-US"/>
              </w:rPr>
              <w:t>Qualité et pertinence des moyens humains ayant la capacité de mettre en œuvre les prestations en lien avec les secteurs d’activité de l’Accord Cadre</w:t>
            </w:r>
          </w:p>
          <w:p w14:paraId="0F5C3801" w14:textId="63992FE0" w:rsidR="007B47C7" w:rsidRDefault="007B47C7" w:rsidP="00F5457E">
            <w:pPr>
              <w:pStyle w:val="Corpsdetexte"/>
              <w:textAlignment w:val="auto"/>
            </w:pPr>
            <w:r w:rsidRPr="000C508F">
              <w:rPr>
                <w:szCs w:val="22"/>
                <w:lang w:eastAsia="en-US"/>
              </w:rPr>
              <w:t>Cf Formulaire de candidature</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DD2A6B" w14:textId="77777777" w:rsidR="00F5457E" w:rsidRDefault="00F5457E" w:rsidP="00F5457E">
            <w:pPr>
              <w:pStyle w:val="Corpsdetexte"/>
              <w:jc w:val="center"/>
              <w:textAlignment w:val="auto"/>
            </w:pPr>
            <w:r>
              <w:rPr>
                <w:rFonts w:ascii="Century Gothic" w:hAnsi="Century Gothic" w:cs="Calibri"/>
                <w:b/>
                <w:sz w:val="20"/>
                <w:szCs w:val="22"/>
                <w:lang w:eastAsia="en-US"/>
              </w:rPr>
              <w:t>50</w:t>
            </w:r>
          </w:p>
        </w:tc>
      </w:tr>
      <w:tr w:rsidR="00F5457E" w14:paraId="05531D50" w14:textId="77777777" w:rsidTr="00A672AC">
        <w:tc>
          <w:tcPr>
            <w:tcW w:w="87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7A7682" w14:textId="77777777" w:rsidR="00F5457E" w:rsidRDefault="00F5457E" w:rsidP="00F5457E">
            <w:pPr>
              <w:pStyle w:val="Corpsdetexte"/>
              <w:rPr>
                <w:lang w:eastAsia="en-US"/>
              </w:rPr>
            </w:pPr>
            <w:r>
              <w:rPr>
                <w:b/>
                <w:bCs/>
                <w:u w:val="single"/>
                <w:lang w:eastAsia="en-US"/>
              </w:rPr>
              <w:t xml:space="preserve">Critère 2 - Capacité professionnelle : </w:t>
            </w:r>
          </w:p>
          <w:p w14:paraId="004FC3A7" w14:textId="77777777" w:rsidR="00F5457E" w:rsidRDefault="00F5457E" w:rsidP="00F5457E">
            <w:pPr>
              <w:pStyle w:val="RedaliaNormal"/>
              <w:textAlignment w:val="auto"/>
              <w:rPr>
                <w:lang w:eastAsia="en-US"/>
              </w:rPr>
            </w:pPr>
            <w:r>
              <w:rPr>
                <w:lang w:eastAsia="en-US"/>
              </w:rPr>
              <w:t>Qualité et pertinence des références du candidat dans le cadre d’activités similaires </w:t>
            </w:r>
          </w:p>
          <w:p w14:paraId="662128B9" w14:textId="0F119019" w:rsidR="007B47C7" w:rsidRDefault="007B47C7" w:rsidP="00F5457E">
            <w:pPr>
              <w:pStyle w:val="RedaliaNormal"/>
              <w:textAlignment w:val="auto"/>
              <w:rPr>
                <w:szCs w:val="22"/>
                <w:lang w:eastAsia="en-US"/>
              </w:rPr>
            </w:pPr>
            <w:r w:rsidRPr="000C508F">
              <w:rPr>
                <w:szCs w:val="22"/>
                <w:lang w:eastAsia="en-US"/>
              </w:rPr>
              <w:t>Cf Formulaire de candidature</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2436B2" w14:textId="77777777" w:rsidR="00F5457E" w:rsidRDefault="00F5457E" w:rsidP="00F5457E">
            <w:pPr>
              <w:pStyle w:val="Corpsdetexte"/>
              <w:jc w:val="center"/>
              <w:textAlignment w:val="auto"/>
              <w:rPr>
                <w:rFonts w:ascii="Century Gothic" w:hAnsi="Century Gothic" w:cs="Calibri"/>
                <w:b/>
                <w:sz w:val="20"/>
                <w:szCs w:val="22"/>
                <w:lang w:eastAsia="en-US"/>
              </w:rPr>
            </w:pPr>
            <w:r>
              <w:rPr>
                <w:rFonts w:ascii="Century Gothic" w:hAnsi="Century Gothic" w:cs="Calibri"/>
                <w:b/>
                <w:sz w:val="20"/>
                <w:szCs w:val="22"/>
                <w:lang w:eastAsia="en-US"/>
              </w:rPr>
              <w:t>50</w:t>
            </w:r>
          </w:p>
        </w:tc>
      </w:tr>
    </w:tbl>
    <w:p w14:paraId="185E3659" w14:textId="77777777" w:rsidR="00A672AC" w:rsidRDefault="00A672AC" w:rsidP="0028502F">
      <w:pPr>
        <w:pStyle w:val="RedaliaNormal"/>
        <w:rPr>
          <w:b/>
        </w:rPr>
      </w:pPr>
    </w:p>
    <w:p w14:paraId="609846F3" w14:textId="49067909" w:rsidR="0028502F" w:rsidRDefault="0028502F" w:rsidP="0028502F">
      <w:pPr>
        <w:pStyle w:val="RedaliaNormal"/>
        <w:rPr>
          <w:b/>
        </w:rPr>
      </w:pPr>
      <w:r>
        <w:rPr>
          <w:b/>
        </w:rPr>
        <w:t xml:space="preserve">Niveaux minimums de capacité exigés : </w:t>
      </w:r>
      <w:r w:rsidR="007B47C7">
        <w:rPr>
          <w:b/>
        </w:rPr>
        <w:t>(non cumulatif)</w:t>
      </w:r>
    </w:p>
    <w:p w14:paraId="4CE6BDA8" w14:textId="77777777" w:rsidR="0028502F" w:rsidRDefault="0028502F" w:rsidP="0028502F">
      <w:pPr>
        <w:pStyle w:val="RedaliaNormal"/>
      </w:pPr>
      <w:r>
        <w:t>Sont déclarées comme irrecevables les candidatures :ne présentant pas des garanties financières, techniques et professionnelles suffisantes au regard de l’objet de la prestation :</w:t>
      </w:r>
    </w:p>
    <w:p w14:paraId="4B06A6A7" w14:textId="6722C09C" w:rsidR="0028502F" w:rsidRPr="007B47C7" w:rsidRDefault="0028502F" w:rsidP="0028502F">
      <w:pPr>
        <w:pStyle w:val="RedaliaNormal"/>
        <w:numPr>
          <w:ilvl w:val="0"/>
          <w:numId w:val="23"/>
        </w:numPr>
      </w:pPr>
      <w:r w:rsidRPr="007B47C7">
        <w:t xml:space="preserve">Chiffre </w:t>
      </w:r>
      <w:proofErr w:type="gramStart"/>
      <w:r w:rsidRPr="007B47C7">
        <w:t>d’affaire</w:t>
      </w:r>
      <w:proofErr w:type="gramEnd"/>
      <w:r w:rsidRPr="007B47C7">
        <w:t xml:space="preserve"> &lt; </w:t>
      </w:r>
      <w:r w:rsidR="00B82D93">
        <w:t>3</w:t>
      </w:r>
      <w:r w:rsidRPr="007B47C7">
        <w:t xml:space="preserve">M€ </w:t>
      </w:r>
      <w:r w:rsidR="00B57C2D" w:rsidRPr="007B47C7">
        <w:t>en moyenne sur les 3 dernières années.</w:t>
      </w:r>
    </w:p>
    <w:p w14:paraId="59343F97" w14:textId="77777777" w:rsidR="0028502F" w:rsidRPr="007B47C7" w:rsidRDefault="0028502F" w:rsidP="0028502F">
      <w:pPr>
        <w:pStyle w:val="RedaliaNormal"/>
        <w:ind w:left="720"/>
      </w:pPr>
      <w:proofErr w:type="gramStart"/>
      <w:r w:rsidRPr="007B47C7">
        <w:t>Ou</w:t>
      </w:r>
      <w:proofErr w:type="gramEnd"/>
    </w:p>
    <w:p w14:paraId="4478656A" w14:textId="26BF5F74" w:rsidR="0028502F" w:rsidRPr="007B47C7" w:rsidRDefault="00F5457E" w:rsidP="0028502F">
      <w:pPr>
        <w:pStyle w:val="RedaliaNormal"/>
        <w:numPr>
          <w:ilvl w:val="0"/>
          <w:numId w:val="23"/>
        </w:numPr>
      </w:pPr>
      <w:r w:rsidRPr="007B47C7">
        <w:t xml:space="preserve">Nombre de salariés &lt; </w:t>
      </w:r>
      <w:r w:rsidR="00160D44" w:rsidRPr="007B47C7">
        <w:t>10</w:t>
      </w:r>
      <w:r w:rsidR="0028502F" w:rsidRPr="007B47C7">
        <w:t xml:space="preserve"> personnes</w:t>
      </w:r>
      <w:r w:rsidR="00634B6A" w:rsidRPr="007B47C7">
        <w:t xml:space="preserve"> sur le périmètre du lot de l’Accord-Cadre. </w:t>
      </w:r>
    </w:p>
    <w:p w14:paraId="59D75A04" w14:textId="77777777" w:rsidR="00F60341" w:rsidRDefault="00F60341" w:rsidP="0028502F">
      <w:pPr>
        <w:rPr>
          <w:b/>
          <w:bCs/>
          <w:u w:val="single"/>
        </w:rPr>
      </w:pPr>
    </w:p>
    <w:p w14:paraId="35A5225F" w14:textId="77777777" w:rsidR="0028502F" w:rsidRDefault="0028502F" w:rsidP="0028502F">
      <w:pPr>
        <w:rPr>
          <w:b/>
          <w:bCs/>
          <w:u w:val="single"/>
        </w:rPr>
      </w:pPr>
      <w:r>
        <w:rPr>
          <w:b/>
          <w:bCs/>
          <w:u w:val="single"/>
        </w:rPr>
        <w:lastRenderedPageBreak/>
        <w:t>Valeur minimale et nombre de sociétés :</w:t>
      </w:r>
    </w:p>
    <w:p w14:paraId="1B2464F7" w14:textId="2A2927A5" w:rsidR="0028502F" w:rsidRDefault="0028502F" w:rsidP="0028502F">
      <w:pPr>
        <w:pStyle w:val="RedaliaNormal"/>
      </w:pPr>
      <w:r>
        <w:t xml:space="preserve">A l’issue de la phase candidature, </w:t>
      </w:r>
      <w:r w:rsidR="00DE133F">
        <w:t xml:space="preserve">les </w:t>
      </w:r>
      <w:r w:rsidR="00160D44" w:rsidRPr="007B47C7">
        <w:rPr>
          <w:b/>
          <w:bCs/>
        </w:rPr>
        <w:t>8</w:t>
      </w:r>
      <w:r w:rsidRPr="007B47C7">
        <w:rPr>
          <w:b/>
          <w:bCs/>
        </w:rPr>
        <w:t xml:space="preserve"> candidats </w:t>
      </w:r>
      <w:r w:rsidR="00DE133F">
        <w:rPr>
          <w:b/>
          <w:bCs/>
        </w:rPr>
        <w:t xml:space="preserve">arrivés en tête </w:t>
      </w:r>
      <w:r w:rsidRPr="007B47C7">
        <w:rPr>
          <w:b/>
          <w:bCs/>
        </w:rPr>
        <w:t xml:space="preserve">maximum </w:t>
      </w:r>
      <w:r w:rsidR="008F0BBE" w:rsidRPr="007B47C7">
        <w:rPr>
          <w:b/>
          <w:bCs/>
        </w:rPr>
        <w:t>sur le lot 01</w:t>
      </w:r>
      <w:r w:rsidRPr="007B47C7">
        <w:t xml:space="preserve"> seront retenus pour la phase offre</w:t>
      </w:r>
      <w:r w:rsidR="00DE133F">
        <w:t>.</w:t>
      </w:r>
    </w:p>
    <w:p w14:paraId="5E421206" w14:textId="77777777" w:rsidR="0028502F" w:rsidRDefault="0028502F" w:rsidP="0028502F">
      <w:pPr>
        <w:pStyle w:val="RedaliaNormal"/>
      </w:pPr>
    </w:p>
    <w:p w14:paraId="27BA5629" w14:textId="77777777" w:rsidR="00C01E15" w:rsidRDefault="0028502F" w:rsidP="0028502F">
      <w:pPr>
        <w:pStyle w:val="RedaliaNormal"/>
      </w:pPr>
      <w:r>
        <w:t>Sont déclarées comme irrecevables les candidatures :ne présentant pas des garanties financières, techniques et professionnelles suffisantes au regard de l’objet de la prestation</w:t>
      </w:r>
      <w:r w:rsidR="00C01E15">
        <w:t>.</w:t>
      </w:r>
    </w:p>
    <w:p w14:paraId="0FE9FC84" w14:textId="6CA8F947" w:rsidR="007B47C7" w:rsidRDefault="00F5457E" w:rsidP="007B47C7">
      <w:pPr>
        <w:pStyle w:val="RedaliaTitre3"/>
        <w:numPr>
          <w:ilvl w:val="2"/>
          <w:numId w:val="35"/>
        </w:numPr>
      </w:pPr>
      <w:r>
        <w:t>Pour le lot 2 </w:t>
      </w:r>
      <w:r w:rsidR="007B47C7">
        <w:t>: remplir et joindre le formulaire de candidature</w:t>
      </w:r>
    </w:p>
    <w:tbl>
      <w:tblPr>
        <w:tblW w:w="9749" w:type="dxa"/>
        <w:tblInd w:w="169" w:type="dxa"/>
        <w:tblCellMar>
          <w:left w:w="10" w:type="dxa"/>
          <w:right w:w="10" w:type="dxa"/>
        </w:tblCellMar>
        <w:tblLook w:val="04A0" w:firstRow="1" w:lastRow="0" w:firstColumn="1" w:lastColumn="0" w:noHBand="0" w:noVBand="1"/>
      </w:tblPr>
      <w:tblGrid>
        <w:gridCol w:w="8360"/>
        <w:gridCol w:w="1389"/>
      </w:tblGrid>
      <w:tr w:rsidR="00F5457E" w14:paraId="701B098E" w14:textId="77777777" w:rsidTr="00DE133F">
        <w:trPr>
          <w:trHeight w:val="393"/>
        </w:trPr>
        <w:tc>
          <w:tcPr>
            <w:tcW w:w="8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085E17" w14:textId="77777777" w:rsidR="00F5457E" w:rsidRDefault="00F5457E" w:rsidP="000337BA">
            <w:pPr>
              <w:pStyle w:val="Corpsdetexte"/>
              <w:textAlignment w:val="auto"/>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0E568B" w14:textId="77777777" w:rsidR="00F5457E" w:rsidRDefault="00F5457E" w:rsidP="000337BA">
            <w:pPr>
              <w:pStyle w:val="Corpsdetexte"/>
              <w:textAlignment w:val="auto"/>
              <w:rPr>
                <w:rFonts w:ascii="Century Gothic" w:hAnsi="Century Gothic" w:cs="Calibri"/>
                <w:b/>
                <w:sz w:val="20"/>
                <w:szCs w:val="22"/>
                <w:lang w:eastAsia="en-US"/>
              </w:rPr>
            </w:pPr>
            <w:r>
              <w:rPr>
                <w:rFonts w:ascii="Century Gothic" w:hAnsi="Century Gothic" w:cs="Calibri"/>
                <w:b/>
                <w:sz w:val="20"/>
                <w:szCs w:val="22"/>
                <w:lang w:eastAsia="en-US"/>
              </w:rPr>
              <w:t>Pondération</w:t>
            </w:r>
          </w:p>
        </w:tc>
      </w:tr>
      <w:tr w:rsidR="00F5457E" w14:paraId="4BC0AEE9" w14:textId="77777777" w:rsidTr="00DE133F">
        <w:tc>
          <w:tcPr>
            <w:tcW w:w="8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4A7E8D" w14:textId="77777777" w:rsidR="00F5457E" w:rsidRDefault="00F5457E" w:rsidP="00F5457E">
            <w:pPr>
              <w:pStyle w:val="Corpsdetexte"/>
              <w:rPr>
                <w:b/>
                <w:bCs/>
                <w:u w:val="single"/>
                <w:lang w:eastAsia="en-US"/>
              </w:rPr>
            </w:pPr>
            <w:r>
              <w:rPr>
                <w:b/>
                <w:bCs/>
                <w:u w:val="single"/>
                <w:lang w:eastAsia="en-US"/>
              </w:rPr>
              <w:t>Critère 1 – Capacité technique :</w:t>
            </w:r>
          </w:p>
          <w:p w14:paraId="40544F66" w14:textId="77777777" w:rsidR="00F5457E" w:rsidRDefault="00F5457E" w:rsidP="00F5457E">
            <w:pPr>
              <w:pStyle w:val="Corpsdetexte"/>
              <w:textAlignment w:val="auto"/>
              <w:rPr>
                <w:lang w:eastAsia="en-US"/>
              </w:rPr>
            </w:pPr>
            <w:r>
              <w:rPr>
                <w:lang w:eastAsia="en-US"/>
              </w:rPr>
              <w:t>Qualité et pertinence des moyens humains ayant la capacité de mettre en œuvre les prestations en lien avec les secteurs d’activité de l’Accord Cadre</w:t>
            </w:r>
          </w:p>
          <w:p w14:paraId="3CE5CBB4" w14:textId="7D76E1BB" w:rsidR="007B47C7" w:rsidRDefault="007B47C7" w:rsidP="00F5457E">
            <w:pPr>
              <w:pStyle w:val="Corpsdetexte"/>
              <w:textAlignment w:val="auto"/>
            </w:pPr>
            <w:r w:rsidRPr="000C508F">
              <w:rPr>
                <w:szCs w:val="22"/>
                <w:lang w:eastAsia="en-US"/>
              </w:rPr>
              <w:t>Cf Formulaire de candidature</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C4821E" w14:textId="77777777" w:rsidR="00F5457E" w:rsidRDefault="00F5457E" w:rsidP="000337BA">
            <w:pPr>
              <w:pStyle w:val="Corpsdetexte"/>
              <w:jc w:val="center"/>
              <w:textAlignment w:val="auto"/>
            </w:pPr>
            <w:r>
              <w:rPr>
                <w:rFonts w:ascii="Century Gothic" w:hAnsi="Century Gothic" w:cs="Calibri"/>
                <w:b/>
                <w:sz w:val="20"/>
                <w:szCs w:val="22"/>
                <w:lang w:eastAsia="en-US"/>
              </w:rPr>
              <w:t>50</w:t>
            </w:r>
          </w:p>
        </w:tc>
      </w:tr>
      <w:tr w:rsidR="00F5457E" w14:paraId="1DF278BE" w14:textId="77777777" w:rsidTr="00DE133F">
        <w:tc>
          <w:tcPr>
            <w:tcW w:w="8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02FDB5" w14:textId="77777777" w:rsidR="00F5457E" w:rsidRDefault="00F5457E" w:rsidP="00F5457E">
            <w:pPr>
              <w:pStyle w:val="Corpsdetexte"/>
              <w:rPr>
                <w:lang w:eastAsia="en-US"/>
              </w:rPr>
            </w:pPr>
            <w:r>
              <w:rPr>
                <w:b/>
                <w:bCs/>
                <w:u w:val="single"/>
                <w:lang w:eastAsia="en-US"/>
              </w:rPr>
              <w:t xml:space="preserve">Critère 2 - Capacité professionnelle : </w:t>
            </w:r>
          </w:p>
          <w:p w14:paraId="470FAA87" w14:textId="77777777" w:rsidR="00F5457E" w:rsidRDefault="00F5457E" w:rsidP="00F5457E">
            <w:pPr>
              <w:pStyle w:val="RedaliaNormal"/>
              <w:textAlignment w:val="auto"/>
              <w:rPr>
                <w:lang w:eastAsia="en-US"/>
              </w:rPr>
            </w:pPr>
            <w:r>
              <w:rPr>
                <w:lang w:eastAsia="en-US"/>
              </w:rPr>
              <w:t>Qualité et pertinence des références du candidat dans le cadre d’activités similaires </w:t>
            </w:r>
          </w:p>
          <w:p w14:paraId="1FCBD329" w14:textId="3F0DCCD8" w:rsidR="007B47C7" w:rsidRDefault="007B47C7" w:rsidP="00F5457E">
            <w:pPr>
              <w:pStyle w:val="RedaliaNormal"/>
              <w:textAlignment w:val="auto"/>
              <w:rPr>
                <w:szCs w:val="22"/>
                <w:lang w:eastAsia="en-US"/>
              </w:rPr>
            </w:pPr>
            <w:r w:rsidRPr="000C508F">
              <w:rPr>
                <w:szCs w:val="22"/>
                <w:lang w:eastAsia="en-US"/>
              </w:rPr>
              <w:t>Cf Formulaire de candidature</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708D88" w14:textId="77777777" w:rsidR="00F5457E" w:rsidRDefault="00F5457E" w:rsidP="000337BA">
            <w:pPr>
              <w:pStyle w:val="Corpsdetexte"/>
              <w:jc w:val="center"/>
              <w:textAlignment w:val="auto"/>
              <w:rPr>
                <w:rFonts w:ascii="Century Gothic" w:hAnsi="Century Gothic" w:cs="Calibri"/>
                <w:b/>
                <w:sz w:val="20"/>
                <w:szCs w:val="22"/>
                <w:lang w:eastAsia="en-US"/>
              </w:rPr>
            </w:pPr>
            <w:r>
              <w:rPr>
                <w:rFonts w:ascii="Century Gothic" w:hAnsi="Century Gothic" w:cs="Calibri"/>
                <w:b/>
                <w:sz w:val="20"/>
                <w:szCs w:val="22"/>
                <w:lang w:eastAsia="en-US"/>
              </w:rPr>
              <w:t>50</w:t>
            </w:r>
          </w:p>
        </w:tc>
      </w:tr>
    </w:tbl>
    <w:p w14:paraId="7A0EDECC" w14:textId="77777777" w:rsidR="00F5457E" w:rsidRDefault="00F5457E" w:rsidP="00F5457E">
      <w:pPr>
        <w:pStyle w:val="RedaliaNormal"/>
      </w:pPr>
    </w:p>
    <w:p w14:paraId="278626C8" w14:textId="77777777" w:rsidR="00F5457E" w:rsidRDefault="00F5457E" w:rsidP="00F5457E">
      <w:pPr>
        <w:pStyle w:val="RedaliaNormal"/>
        <w:rPr>
          <w:b/>
        </w:rPr>
      </w:pPr>
      <w:r>
        <w:rPr>
          <w:b/>
        </w:rPr>
        <w:t xml:space="preserve">Niveaux minimums de capacité exigés : </w:t>
      </w:r>
    </w:p>
    <w:p w14:paraId="608A8512" w14:textId="77777777" w:rsidR="00F5457E" w:rsidRDefault="00F5457E" w:rsidP="00F5457E">
      <w:pPr>
        <w:pStyle w:val="RedaliaNormal"/>
        <w:numPr>
          <w:ilvl w:val="0"/>
          <w:numId w:val="23"/>
        </w:numPr>
      </w:pPr>
      <w:r>
        <w:t xml:space="preserve">Aucun niveau minimum de candidature n’est exigé </w:t>
      </w:r>
      <w:r w:rsidR="001B04DE">
        <w:t xml:space="preserve">pour ce lot </w:t>
      </w:r>
      <w:r>
        <w:t xml:space="preserve">néanmoins, les candidatures ne </w:t>
      </w:r>
      <w:r w:rsidRPr="00F5457E">
        <w:t>présentant pas des garanties financières, techniques et professionnelles suffisantes au regard de l’objet de la prestation</w:t>
      </w:r>
      <w:r>
        <w:t xml:space="preserve"> seront déclarées irrégulières.</w:t>
      </w:r>
    </w:p>
    <w:p w14:paraId="3D1FE924" w14:textId="77777777" w:rsidR="00F5457E" w:rsidRDefault="00F5457E" w:rsidP="00F5457E">
      <w:pPr>
        <w:pStyle w:val="RedaliaNormal"/>
        <w:rPr>
          <w:color w:val="FF0000"/>
        </w:rPr>
      </w:pPr>
    </w:p>
    <w:p w14:paraId="0C3FEF9C" w14:textId="77777777" w:rsidR="00F5457E" w:rsidRDefault="00F5457E" w:rsidP="00F5457E">
      <w:pPr>
        <w:rPr>
          <w:b/>
          <w:bCs/>
          <w:u w:val="single"/>
        </w:rPr>
      </w:pPr>
      <w:r>
        <w:rPr>
          <w:b/>
          <w:bCs/>
          <w:u w:val="single"/>
        </w:rPr>
        <w:t>Valeur minimale et nombre de sociétés :</w:t>
      </w:r>
    </w:p>
    <w:p w14:paraId="0BD7EBDF" w14:textId="29DF76EF" w:rsidR="00F5457E" w:rsidRDefault="00F5457E" w:rsidP="00F5457E">
      <w:pPr>
        <w:pStyle w:val="RedaliaNormal"/>
      </w:pPr>
      <w:r>
        <w:t xml:space="preserve">A l’issue de la phase candidature, </w:t>
      </w:r>
      <w:r w:rsidR="00DE133F">
        <w:t xml:space="preserve">les </w:t>
      </w:r>
      <w:r w:rsidR="0098454D" w:rsidRPr="00DE133F">
        <w:rPr>
          <w:b/>
          <w:bCs/>
        </w:rPr>
        <w:t>6</w:t>
      </w:r>
      <w:r w:rsidRPr="007B47C7">
        <w:t xml:space="preserve"> </w:t>
      </w:r>
      <w:r w:rsidR="00DE133F">
        <w:t xml:space="preserve">premiers </w:t>
      </w:r>
      <w:r w:rsidRPr="007B47C7">
        <w:t xml:space="preserve">candidats maximum </w:t>
      </w:r>
      <w:r w:rsidR="008F0BBE" w:rsidRPr="007B47C7">
        <w:t xml:space="preserve">sur le lot 02 </w:t>
      </w:r>
      <w:r w:rsidRPr="007B47C7">
        <w:t>seront retenus pour la phase offre</w:t>
      </w:r>
      <w:r w:rsidR="00DE133F">
        <w:t>.</w:t>
      </w:r>
    </w:p>
    <w:p w14:paraId="75808653" w14:textId="77777777" w:rsidR="00F5457E" w:rsidRDefault="00F5457E" w:rsidP="00F5457E">
      <w:pPr>
        <w:pStyle w:val="RedaliaTitre3"/>
      </w:pPr>
      <w:r>
        <w:t>Nombre maximale de candidature recevable en phase offre</w:t>
      </w:r>
    </w:p>
    <w:p w14:paraId="5EAE26D2" w14:textId="77777777" w:rsidR="00F5457E" w:rsidRDefault="00F5457E" w:rsidP="00F5457E">
      <w:pPr>
        <w:pStyle w:val="RedaliaNormal"/>
      </w:pPr>
      <w:r w:rsidRPr="007B47C7">
        <w:t xml:space="preserve">Sous réserve de la réception d’un nombre suffisant de candidature, le nombre maximum d’opérateur économique admis en phase offre est le suivant : </w:t>
      </w:r>
    </w:p>
    <w:p w14:paraId="39FDB864" w14:textId="77777777" w:rsidR="007B47C7" w:rsidRPr="007B47C7" w:rsidRDefault="007B47C7" w:rsidP="00F5457E">
      <w:pPr>
        <w:pStyle w:val="RedaliaNormal"/>
      </w:pPr>
    </w:p>
    <w:tbl>
      <w:tblPr>
        <w:tblStyle w:val="Grilledutableau"/>
        <w:tblW w:w="0" w:type="auto"/>
        <w:tblInd w:w="2830" w:type="dxa"/>
        <w:tblLook w:val="04A0" w:firstRow="1" w:lastRow="0" w:firstColumn="1" w:lastColumn="0" w:noHBand="0" w:noVBand="1"/>
      </w:tblPr>
      <w:tblGrid>
        <w:gridCol w:w="1984"/>
        <w:gridCol w:w="4814"/>
      </w:tblGrid>
      <w:tr w:rsidR="00F5457E" w:rsidRPr="007B47C7" w14:paraId="74FB524A" w14:textId="77777777" w:rsidTr="00DE133F">
        <w:tc>
          <w:tcPr>
            <w:tcW w:w="1984" w:type="dxa"/>
          </w:tcPr>
          <w:p w14:paraId="5A142C1E" w14:textId="77777777" w:rsidR="00F5457E" w:rsidRPr="007B47C7" w:rsidRDefault="00F5457E" w:rsidP="00F5457E">
            <w:pPr>
              <w:pStyle w:val="RedaliaNormal"/>
              <w:rPr>
                <w:b/>
                <w:szCs w:val="20"/>
                <w:lang w:eastAsia="fr-FR"/>
              </w:rPr>
            </w:pPr>
            <w:r w:rsidRPr="007B47C7">
              <w:rPr>
                <w:b/>
                <w:szCs w:val="20"/>
                <w:lang w:eastAsia="fr-FR"/>
              </w:rPr>
              <w:t>Pour le lot 1</w:t>
            </w:r>
          </w:p>
        </w:tc>
        <w:tc>
          <w:tcPr>
            <w:tcW w:w="4814" w:type="dxa"/>
          </w:tcPr>
          <w:p w14:paraId="52ED4EF8" w14:textId="704E7609" w:rsidR="00F5457E" w:rsidRPr="007B47C7" w:rsidRDefault="0098454D" w:rsidP="00F5457E">
            <w:pPr>
              <w:pStyle w:val="RedaliaNormal"/>
              <w:rPr>
                <w:szCs w:val="20"/>
                <w:lang w:eastAsia="fr-FR"/>
              </w:rPr>
            </w:pPr>
            <w:r w:rsidRPr="007B47C7">
              <w:rPr>
                <w:szCs w:val="20"/>
                <w:lang w:eastAsia="fr-FR"/>
              </w:rPr>
              <w:t>8</w:t>
            </w:r>
            <w:r w:rsidR="00F5457E" w:rsidRPr="007B47C7">
              <w:rPr>
                <w:szCs w:val="20"/>
                <w:lang w:eastAsia="fr-FR"/>
              </w:rPr>
              <w:t xml:space="preserve"> participants maximum admis en phase offre</w:t>
            </w:r>
          </w:p>
        </w:tc>
      </w:tr>
      <w:tr w:rsidR="00F5457E" w14:paraId="00EDC097" w14:textId="77777777" w:rsidTr="00DE133F">
        <w:tc>
          <w:tcPr>
            <w:tcW w:w="1984" w:type="dxa"/>
          </w:tcPr>
          <w:p w14:paraId="6890C4AF" w14:textId="77777777" w:rsidR="00F5457E" w:rsidRPr="007B47C7" w:rsidRDefault="00F5457E" w:rsidP="00F5457E">
            <w:pPr>
              <w:pStyle w:val="RedaliaNormal"/>
              <w:rPr>
                <w:b/>
                <w:szCs w:val="20"/>
                <w:lang w:eastAsia="fr-FR"/>
              </w:rPr>
            </w:pPr>
            <w:r w:rsidRPr="007B47C7">
              <w:rPr>
                <w:b/>
                <w:szCs w:val="20"/>
                <w:lang w:eastAsia="fr-FR"/>
              </w:rPr>
              <w:t>Pour le lot 2</w:t>
            </w:r>
          </w:p>
        </w:tc>
        <w:tc>
          <w:tcPr>
            <w:tcW w:w="4814" w:type="dxa"/>
          </w:tcPr>
          <w:p w14:paraId="14D66BAE" w14:textId="34E2331A" w:rsidR="00F5457E" w:rsidRPr="00F5457E" w:rsidRDefault="0098454D" w:rsidP="00F5457E">
            <w:pPr>
              <w:pStyle w:val="RedaliaNormal"/>
              <w:rPr>
                <w:szCs w:val="20"/>
                <w:lang w:eastAsia="fr-FR"/>
              </w:rPr>
            </w:pPr>
            <w:r w:rsidRPr="007B47C7">
              <w:rPr>
                <w:szCs w:val="20"/>
                <w:lang w:eastAsia="fr-FR"/>
              </w:rPr>
              <w:t>6</w:t>
            </w:r>
            <w:r w:rsidR="00F5457E" w:rsidRPr="007B47C7">
              <w:rPr>
                <w:szCs w:val="20"/>
                <w:lang w:eastAsia="fr-FR"/>
              </w:rPr>
              <w:t xml:space="preserve"> participants maximum admis en phase offre</w:t>
            </w:r>
          </w:p>
        </w:tc>
      </w:tr>
    </w:tbl>
    <w:p w14:paraId="3C02142F" w14:textId="77777777" w:rsidR="00C01E15" w:rsidRDefault="00F5457E" w:rsidP="00F5457E">
      <w:pPr>
        <w:pStyle w:val="RedaliaTitre1"/>
      </w:pPr>
      <w:bookmarkStart w:id="35" w:name="_Toc204789936"/>
      <w:r>
        <w:t>Dispositions spécifiques à la phase offre</w:t>
      </w:r>
      <w:bookmarkEnd w:id="35"/>
    </w:p>
    <w:p w14:paraId="36CD12D0" w14:textId="77777777" w:rsidR="00F5457E" w:rsidRDefault="004330BE" w:rsidP="00F5457E">
      <w:pPr>
        <w:pStyle w:val="RedaliaNormal"/>
      </w:pPr>
      <w:r w:rsidRPr="004330BE">
        <w:t>Seuls les candidats admis à la phase offre seront invités à produire ultérieurement les documents ci-après</w:t>
      </w:r>
      <w:r>
        <w:t xml:space="preserve"> : </w:t>
      </w:r>
    </w:p>
    <w:p w14:paraId="74577C4B" w14:textId="11DDC56F" w:rsidR="006F6BCF" w:rsidRDefault="00766059">
      <w:pPr>
        <w:pStyle w:val="RedaliaTitre2"/>
        <w:rPr>
          <w:color w:val="FF0000"/>
        </w:rPr>
      </w:pPr>
      <w:bookmarkStart w:id="36" w:name="_Toc204789937"/>
      <w:r>
        <w:t>Éléments nécessaires au choix de l’offre</w:t>
      </w:r>
      <w:r w:rsidR="00215E76">
        <w:t xml:space="preserve"> </w:t>
      </w:r>
      <w:r w:rsidR="00215E76" w:rsidRPr="007B47C7">
        <w:rPr>
          <w:color w:val="FF0000"/>
        </w:rPr>
        <w:t xml:space="preserve">(Indiquer clairement le choix du lot </w:t>
      </w:r>
      <w:r w:rsidR="007B47C7">
        <w:rPr>
          <w:color w:val="FF0000"/>
        </w:rPr>
        <w:t>sur</w:t>
      </w:r>
      <w:r w:rsidR="00215E76" w:rsidRPr="007B47C7">
        <w:rPr>
          <w:color w:val="FF0000"/>
        </w:rPr>
        <w:t xml:space="preserve"> tous vos documents)</w:t>
      </w:r>
      <w:bookmarkEnd w:id="36"/>
    </w:p>
    <w:p w14:paraId="6AA221A1" w14:textId="77777777" w:rsidR="00DE133F" w:rsidRPr="00DE133F" w:rsidRDefault="00DE133F" w:rsidP="00DE133F"/>
    <w:p w14:paraId="5B483511" w14:textId="77777777" w:rsidR="004330BE" w:rsidRDefault="004073B9" w:rsidP="004330BE">
      <w:pPr>
        <w:pStyle w:val="RedaliaTitre3"/>
      </w:pPr>
      <w:r>
        <w:t>Pour le L</w:t>
      </w:r>
      <w:r w:rsidR="004330BE">
        <w:t>ot 1 :</w:t>
      </w:r>
    </w:p>
    <w:p w14:paraId="7C28B5B3" w14:textId="77777777" w:rsidR="006F6BCF" w:rsidRDefault="00766059">
      <w:pPr>
        <w:pStyle w:val="RedaliaNormal"/>
      </w:pPr>
      <w:r>
        <w:t>Pour le choix de l’offre, les candidats doivent produire les documents suivants :</w:t>
      </w:r>
    </w:p>
    <w:p w14:paraId="40CF7CC7" w14:textId="77777777" w:rsidR="006F6BCF" w:rsidRDefault="00766059">
      <w:pPr>
        <w:pStyle w:val="Redaliapuces"/>
        <w:numPr>
          <w:ilvl w:val="0"/>
          <w:numId w:val="19"/>
        </w:numPr>
      </w:pPr>
      <w:r>
        <w:t xml:space="preserve">Un </w:t>
      </w:r>
      <w:r w:rsidRPr="004073B9">
        <w:rPr>
          <w:b/>
        </w:rPr>
        <w:t>Contrat Unique (CU)</w:t>
      </w:r>
      <w:r w:rsidR="004073B9">
        <w:rPr>
          <w:b/>
        </w:rPr>
        <w:t xml:space="preserve"> du lot 1</w:t>
      </w:r>
      <w:r>
        <w:t xml:space="preserve"> (ci-joint à compléter, à dater et à signer </w:t>
      </w:r>
      <w:r w:rsidRPr="004073B9">
        <w:rPr>
          <w:u w:val="single"/>
        </w:rPr>
        <w:t>électroniquement</w:t>
      </w:r>
      <w:r>
        <w:t>)</w:t>
      </w:r>
    </w:p>
    <w:p w14:paraId="72F2B5BB" w14:textId="77777777" w:rsidR="006F6BCF" w:rsidRDefault="006F6BCF">
      <w:pPr>
        <w:pStyle w:val="Redaliapuces"/>
        <w:numPr>
          <w:ilvl w:val="0"/>
          <w:numId w:val="0"/>
        </w:numPr>
        <w:tabs>
          <w:tab w:val="clear" w:pos="510"/>
          <w:tab w:val="clear" w:pos="8732"/>
          <w:tab w:val="left" w:leader="dot" w:pos="8505"/>
        </w:tabs>
        <w:ind w:left="284"/>
      </w:pPr>
    </w:p>
    <w:p w14:paraId="49E3211D" w14:textId="034908F8" w:rsidR="00215E76" w:rsidRDefault="00215E76" w:rsidP="00215E76">
      <w:pPr>
        <w:pStyle w:val="Redaliapuces"/>
        <w:numPr>
          <w:ilvl w:val="0"/>
          <w:numId w:val="0"/>
        </w:numPr>
        <w:tabs>
          <w:tab w:val="clear" w:pos="510"/>
          <w:tab w:val="clear" w:pos="8732"/>
          <w:tab w:val="left" w:leader="dot" w:pos="8505"/>
        </w:tabs>
        <w:ind w:left="227" w:hanging="227"/>
      </w:pPr>
    </w:p>
    <w:p w14:paraId="6432C629" w14:textId="77777777" w:rsidR="006F6BCF" w:rsidRDefault="00766059">
      <w:pPr>
        <w:pStyle w:val="Redaliapuces"/>
        <w:numPr>
          <w:ilvl w:val="0"/>
          <w:numId w:val="0"/>
        </w:numPr>
        <w:tabs>
          <w:tab w:val="clear" w:pos="510"/>
          <w:tab w:val="clear" w:pos="8732"/>
          <w:tab w:val="left" w:leader="dot" w:pos="8505"/>
        </w:tabs>
        <w:ind w:left="284" w:hanging="114"/>
        <w:rPr>
          <w:u w:val="single"/>
        </w:rPr>
      </w:pPr>
      <w:r>
        <w:rPr>
          <w:u w:val="single"/>
        </w:rPr>
        <w:t>Information relative à l’utilisation de la signature électronique :</w:t>
      </w:r>
    </w:p>
    <w:p w14:paraId="0AE8FD39" w14:textId="77777777" w:rsidR="006F6BCF" w:rsidRDefault="00766059">
      <w:pPr>
        <w:pStyle w:val="Redaliapuces"/>
        <w:numPr>
          <w:ilvl w:val="0"/>
          <w:numId w:val="0"/>
        </w:numPr>
        <w:tabs>
          <w:tab w:val="clear" w:pos="510"/>
          <w:tab w:val="clear" w:pos="8732"/>
          <w:tab w:val="left" w:leader="dot" w:pos="8505"/>
        </w:tabs>
        <w:ind w:left="170"/>
      </w:pPr>
      <w:r>
        <w:t>Il est demandé aux soumissionnaires de ne pas utiliser une signature électronique bloquant l’ajout d’une autre signature électronique.</w:t>
      </w:r>
    </w:p>
    <w:p w14:paraId="27471D85" w14:textId="77777777" w:rsidR="006F6BCF" w:rsidRDefault="006F6BCF">
      <w:pPr>
        <w:pStyle w:val="Redaliapuces"/>
        <w:numPr>
          <w:ilvl w:val="0"/>
          <w:numId w:val="0"/>
        </w:numPr>
        <w:tabs>
          <w:tab w:val="clear" w:pos="510"/>
          <w:tab w:val="clear" w:pos="8732"/>
          <w:tab w:val="left" w:leader="dot" w:pos="8505"/>
        </w:tabs>
        <w:ind w:left="170"/>
      </w:pPr>
    </w:p>
    <w:p w14:paraId="6E44386D" w14:textId="77777777" w:rsidR="006F6BCF" w:rsidRDefault="00766059">
      <w:pPr>
        <w:pStyle w:val="Redaliapuces"/>
        <w:numPr>
          <w:ilvl w:val="0"/>
          <w:numId w:val="0"/>
        </w:numPr>
        <w:tabs>
          <w:tab w:val="clear" w:pos="510"/>
          <w:tab w:val="clear" w:pos="8732"/>
          <w:tab w:val="left" w:leader="dot" w:pos="8505"/>
        </w:tabs>
        <w:ind w:left="170"/>
      </w:pPr>
      <w:r>
        <w:t>Le candidat précisera également la nature et le montant des prestations qu’il envisage de sous-traiter ainsi que la liste des sous-traitants qu'il se propose de présenter à l'agrément et à l'acceptation du pouvoir adjudicateur.</w:t>
      </w:r>
    </w:p>
    <w:p w14:paraId="4A35A7E1" w14:textId="77777777" w:rsidR="006F6BCF" w:rsidRDefault="006F6BCF">
      <w:pPr>
        <w:pStyle w:val="RedaliaNormal"/>
      </w:pPr>
    </w:p>
    <w:p w14:paraId="07764D5D" w14:textId="77777777" w:rsidR="006F6BCF" w:rsidRDefault="004073B9">
      <w:pPr>
        <w:pStyle w:val="Redaliapuces"/>
        <w:numPr>
          <w:ilvl w:val="0"/>
          <w:numId w:val="7"/>
        </w:numPr>
      </w:pPr>
      <w:r>
        <w:t>L’annexe financière du Lot 01 dûment remplie, composée :</w:t>
      </w:r>
    </w:p>
    <w:p w14:paraId="6082AE78" w14:textId="77777777" w:rsidR="004073B9" w:rsidRDefault="004073B9" w:rsidP="004073B9">
      <w:pPr>
        <w:pStyle w:val="Redaliapuces"/>
        <w:numPr>
          <w:ilvl w:val="1"/>
          <w:numId w:val="7"/>
        </w:numPr>
      </w:pPr>
      <w:r>
        <w:t>Du bordereau des Prix Unitaires (BPU)</w:t>
      </w:r>
    </w:p>
    <w:p w14:paraId="106C0897" w14:textId="77777777" w:rsidR="004073B9" w:rsidRDefault="004073B9" w:rsidP="004073B9">
      <w:pPr>
        <w:pStyle w:val="Redaliapuces"/>
        <w:numPr>
          <w:ilvl w:val="1"/>
          <w:numId w:val="7"/>
        </w:numPr>
      </w:pPr>
      <w:r>
        <w:t>Du Détail Quantitatif Estimatif (DQE)</w:t>
      </w:r>
    </w:p>
    <w:p w14:paraId="1B9237EA" w14:textId="77777777" w:rsidR="004073B9" w:rsidRDefault="004073B9" w:rsidP="004073B9">
      <w:pPr>
        <w:pStyle w:val="Redaliapuces"/>
        <w:numPr>
          <w:ilvl w:val="0"/>
          <w:numId w:val="0"/>
        </w:numPr>
        <w:ind w:left="284"/>
      </w:pPr>
    </w:p>
    <w:p w14:paraId="5377C22E" w14:textId="77777777" w:rsidR="006F6BCF" w:rsidRDefault="00766059">
      <w:pPr>
        <w:pStyle w:val="Redaliapuces"/>
        <w:numPr>
          <w:ilvl w:val="0"/>
          <w:numId w:val="7"/>
        </w:numPr>
      </w:pPr>
      <w:r w:rsidRPr="00215E76">
        <w:t>Une note méthodologique ou un mémoire</w:t>
      </w:r>
      <w:r w:rsidR="004073B9" w:rsidRPr="00215E76">
        <w:t xml:space="preserve"> propre au Lot 01</w:t>
      </w:r>
      <w:r w:rsidRPr="00215E76">
        <w:t xml:space="preserve"> justificatif rédigé sur la base du canevas présenté dans l’annexe « Cadre de réponse imposé » au présent Règlement de la Consultation.</w:t>
      </w:r>
    </w:p>
    <w:p w14:paraId="04212B95" w14:textId="77777777" w:rsidR="00DE133F" w:rsidRPr="00215E76" w:rsidRDefault="00DE133F" w:rsidP="00DE133F">
      <w:pPr>
        <w:pStyle w:val="Redaliapuces"/>
        <w:numPr>
          <w:ilvl w:val="0"/>
          <w:numId w:val="0"/>
        </w:numPr>
        <w:ind w:left="284"/>
      </w:pPr>
    </w:p>
    <w:p w14:paraId="0B9A9CCE" w14:textId="77777777" w:rsidR="007B47C7" w:rsidRDefault="007B47C7" w:rsidP="007B47C7">
      <w:pPr>
        <w:pStyle w:val="Redaliapuces"/>
        <w:numPr>
          <w:ilvl w:val="0"/>
          <w:numId w:val="7"/>
        </w:numPr>
        <w:tabs>
          <w:tab w:val="clear" w:pos="510"/>
          <w:tab w:val="clear" w:pos="8732"/>
          <w:tab w:val="left" w:pos="-8915"/>
          <w:tab w:val="left" w:pos="-693"/>
        </w:tabs>
      </w:pPr>
      <w:r w:rsidRPr="007C1D1D">
        <w:rPr>
          <w:b/>
        </w:rPr>
        <w:t>Une note RSE</w:t>
      </w:r>
      <w:r>
        <w:t xml:space="preserve"> dont les éléments attendus sont indiqués en annexe du règlement de la consultation</w:t>
      </w:r>
    </w:p>
    <w:p w14:paraId="79172221" w14:textId="77777777" w:rsidR="001B04DE" w:rsidRPr="004073B9" w:rsidRDefault="001B04DE" w:rsidP="001B04DE">
      <w:pPr>
        <w:pStyle w:val="Redaliapuces"/>
        <w:numPr>
          <w:ilvl w:val="0"/>
          <w:numId w:val="0"/>
        </w:numPr>
        <w:ind w:left="227" w:hanging="227"/>
        <w:rPr>
          <w:highlight w:val="yellow"/>
        </w:rPr>
      </w:pPr>
    </w:p>
    <w:p w14:paraId="1C5C0D12" w14:textId="77777777" w:rsidR="004073B9" w:rsidRDefault="004073B9" w:rsidP="004073B9">
      <w:pPr>
        <w:pStyle w:val="RedaliaTitre3"/>
      </w:pPr>
      <w:r>
        <w:t>Pour le Lot 2</w:t>
      </w:r>
    </w:p>
    <w:p w14:paraId="126E2370" w14:textId="77777777" w:rsidR="006F6BCF" w:rsidRDefault="006F6BCF">
      <w:pPr>
        <w:pStyle w:val="RedaliaNormal"/>
      </w:pPr>
    </w:p>
    <w:p w14:paraId="2652467F" w14:textId="77777777" w:rsidR="004073B9" w:rsidRDefault="004073B9" w:rsidP="004073B9">
      <w:pPr>
        <w:pStyle w:val="RedaliaNormal"/>
      </w:pPr>
      <w:r>
        <w:t>Pour le choix de l’offre, les candidats doivent produire les documents suivants :</w:t>
      </w:r>
    </w:p>
    <w:p w14:paraId="3D674290" w14:textId="77777777" w:rsidR="004073B9" w:rsidRDefault="004073B9" w:rsidP="004073B9">
      <w:pPr>
        <w:pStyle w:val="Redaliapuces"/>
        <w:numPr>
          <w:ilvl w:val="0"/>
          <w:numId w:val="19"/>
        </w:numPr>
      </w:pPr>
      <w:r>
        <w:t xml:space="preserve">Un </w:t>
      </w:r>
      <w:r w:rsidRPr="004073B9">
        <w:rPr>
          <w:b/>
        </w:rPr>
        <w:t>Contrat Unique (CU)</w:t>
      </w:r>
      <w:r>
        <w:rPr>
          <w:b/>
        </w:rPr>
        <w:t xml:space="preserve"> du lot 2</w:t>
      </w:r>
      <w:r>
        <w:t xml:space="preserve"> (ci-joint à compléter, à dater et à signer </w:t>
      </w:r>
      <w:r w:rsidRPr="004073B9">
        <w:rPr>
          <w:u w:val="single"/>
        </w:rPr>
        <w:t>électroniquement</w:t>
      </w:r>
      <w:r>
        <w:t>)</w:t>
      </w:r>
    </w:p>
    <w:p w14:paraId="3D7172A4" w14:textId="77777777" w:rsidR="004073B9" w:rsidRDefault="004073B9" w:rsidP="004073B9">
      <w:pPr>
        <w:pStyle w:val="Redaliapuces"/>
        <w:numPr>
          <w:ilvl w:val="0"/>
          <w:numId w:val="0"/>
        </w:numPr>
        <w:tabs>
          <w:tab w:val="clear" w:pos="510"/>
          <w:tab w:val="clear" w:pos="8732"/>
          <w:tab w:val="left" w:leader="dot" w:pos="8505"/>
        </w:tabs>
        <w:ind w:left="284"/>
      </w:pPr>
    </w:p>
    <w:p w14:paraId="4447DFBC" w14:textId="77777777" w:rsidR="004073B9" w:rsidRDefault="004073B9" w:rsidP="004073B9">
      <w:pPr>
        <w:pStyle w:val="Redaliapuces"/>
        <w:numPr>
          <w:ilvl w:val="0"/>
          <w:numId w:val="0"/>
        </w:numPr>
        <w:tabs>
          <w:tab w:val="clear" w:pos="510"/>
          <w:tab w:val="clear" w:pos="8732"/>
          <w:tab w:val="left" w:leader="dot" w:pos="8505"/>
        </w:tabs>
        <w:ind w:left="284" w:hanging="114"/>
        <w:rPr>
          <w:u w:val="single"/>
        </w:rPr>
      </w:pPr>
      <w:r>
        <w:rPr>
          <w:u w:val="single"/>
        </w:rPr>
        <w:t>Information relative à l’utilisation de la signature électronique :</w:t>
      </w:r>
    </w:p>
    <w:p w14:paraId="145F0731" w14:textId="77777777" w:rsidR="004073B9" w:rsidRDefault="004073B9" w:rsidP="004073B9">
      <w:pPr>
        <w:pStyle w:val="Redaliapuces"/>
        <w:numPr>
          <w:ilvl w:val="0"/>
          <w:numId w:val="0"/>
        </w:numPr>
        <w:tabs>
          <w:tab w:val="clear" w:pos="510"/>
          <w:tab w:val="clear" w:pos="8732"/>
          <w:tab w:val="left" w:leader="dot" w:pos="8505"/>
        </w:tabs>
        <w:ind w:left="170"/>
      </w:pPr>
      <w:r>
        <w:t>Il est demandé aux soumissionnaires de ne pas utiliser une signature électronique bloquant l’ajout d’une autre signature électronique.</w:t>
      </w:r>
    </w:p>
    <w:p w14:paraId="1CA398C0" w14:textId="77777777" w:rsidR="004073B9" w:rsidRDefault="004073B9" w:rsidP="004073B9">
      <w:pPr>
        <w:pStyle w:val="Redaliapuces"/>
        <w:numPr>
          <w:ilvl w:val="0"/>
          <w:numId w:val="0"/>
        </w:numPr>
        <w:tabs>
          <w:tab w:val="clear" w:pos="510"/>
          <w:tab w:val="clear" w:pos="8732"/>
          <w:tab w:val="left" w:leader="dot" w:pos="8505"/>
        </w:tabs>
        <w:ind w:left="170"/>
      </w:pPr>
    </w:p>
    <w:p w14:paraId="4B27CF32" w14:textId="77777777" w:rsidR="004073B9" w:rsidRDefault="004073B9" w:rsidP="004073B9">
      <w:pPr>
        <w:pStyle w:val="Redaliapuces"/>
        <w:numPr>
          <w:ilvl w:val="0"/>
          <w:numId w:val="0"/>
        </w:numPr>
        <w:tabs>
          <w:tab w:val="clear" w:pos="510"/>
          <w:tab w:val="clear" w:pos="8732"/>
          <w:tab w:val="left" w:leader="dot" w:pos="8505"/>
        </w:tabs>
        <w:ind w:left="170"/>
      </w:pPr>
      <w:r>
        <w:t>Le candidat précisera également la nature et le montant des prestations qu’il envisage de sous-traiter ainsi que la liste des sous-traitants qu'il se propose de présenter à l'agrément et à l'acceptation du pouvoir adjudicateur.</w:t>
      </w:r>
    </w:p>
    <w:p w14:paraId="51449C03" w14:textId="77777777" w:rsidR="004073B9" w:rsidRDefault="004073B9" w:rsidP="004073B9">
      <w:pPr>
        <w:pStyle w:val="RedaliaNormal"/>
      </w:pPr>
    </w:p>
    <w:p w14:paraId="5021F9AD" w14:textId="77777777" w:rsidR="004073B9" w:rsidRDefault="004073B9" w:rsidP="004073B9">
      <w:pPr>
        <w:pStyle w:val="Redaliapuces"/>
        <w:numPr>
          <w:ilvl w:val="0"/>
          <w:numId w:val="7"/>
        </w:numPr>
      </w:pPr>
      <w:r>
        <w:t>L’annexe financière du Lot 02 dûment remplie, composée :</w:t>
      </w:r>
    </w:p>
    <w:p w14:paraId="427452D7" w14:textId="77777777" w:rsidR="004073B9" w:rsidRDefault="004073B9" w:rsidP="004073B9">
      <w:pPr>
        <w:pStyle w:val="Redaliapuces"/>
        <w:numPr>
          <w:ilvl w:val="1"/>
          <w:numId w:val="7"/>
        </w:numPr>
      </w:pPr>
      <w:r>
        <w:t>Du bordereau des Prix Unitaires (BPU)</w:t>
      </w:r>
    </w:p>
    <w:p w14:paraId="039AD8A7" w14:textId="77777777" w:rsidR="004073B9" w:rsidRDefault="004073B9" w:rsidP="004073B9">
      <w:pPr>
        <w:pStyle w:val="Redaliapuces"/>
        <w:numPr>
          <w:ilvl w:val="1"/>
          <w:numId w:val="7"/>
        </w:numPr>
      </w:pPr>
      <w:r>
        <w:t>Du Détail Quantitatif Estimatif (DQE)</w:t>
      </w:r>
    </w:p>
    <w:p w14:paraId="66762A46" w14:textId="77777777" w:rsidR="004073B9" w:rsidRDefault="004073B9" w:rsidP="004073B9">
      <w:pPr>
        <w:pStyle w:val="Redaliapuces"/>
        <w:numPr>
          <w:ilvl w:val="0"/>
          <w:numId w:val="0"/>
        </w:numPr>
        <w:ind w:left="284"/>
      </w:pPr>
    </w:p>
    <w:p w14:paraId="5E40B4B1" w14:textId="2AC81D58" w:rsidR="001B04DE" w:rsidRDefault="001B04DE" w:rsidP="001B04DE">
      <w:pPr>
        <w:pStyle w:val="Redaliapuces"/>
        <w:numPr>
          <w:ilvl w:val="0"/>
          <w:numId w:val="7"/>
        </w:numPr>
      </w:pPr>
      <w:r w:rsidRPr="007B47C7">
        <w:t>Une note méthodologique ou un mémoire propre au Lot 0</w:t>
      </w:r>
      <w:r w:rsidR="00215E76" w:rsidRPr="007B47C7">
        <w:t>2</w:t>
      </w:r>
      <w:r w:rsidRPr="007B47C7">
        <w:t xml:space="preserve"> justificatif rédigé sur la base du canevas présenté dans l’annexe « Cadre de réponse imposé </w:t>
      </w:r>
      <w:r w:rsidR="000E5A52" w:rsidRPr="007B47C7">
        <w:t xml:space="preserve">– Phase </w:t>
      </w:r>
      <w:proofErr w:type="gramStart"/>
      <w:r w:rsidR="000E5A52" w:rsidRPr="007B47C7">
        <w:t>Offre</w:t>
      </w:r>
      <w:r w:rsidRPr="007B47C7">
        <w:t>»</w:t>
      </w:r>
      <w:proofErr w:type="gramEnd"/>
      <w:r w:rsidRPr="007B47C7">
        <w:t xml:space="preserve"> au présent Règlement de la Consultation.</w:t>
      </w:r>
    </w:p>
    <w:p w14:paraId="7886676D" w14:textId="77777777" w:rsidR="00DE133F" w:rsidRPr="007B47C7" w:rsidRDefault="00DE133F" w:rsidP="00DE133F">
      <w:pPr>
        <w:pStyle w:val="Redaliapuces"/>
        <w:numPr>
          <w:ilvl w:val="0"/>
          <w:numId w:val="0"/>
        </w:numPr>
        <w:ind w:left="284"/>
      </w:pPr>
    </w:p>
    <w:p w14:paraId="713D3093" w14:textId="77777777" w:rsidR="007B47C7" w:rsidRDefault="007B47C7" w:rsidP="007B47C7">
      <w:pPr>
        <w:pStyle w:val="Redaliapuces"/>
        <w:numPr>
          <w:ilvl w:val="0"/>
          <w:numId w:val="7"/>
        </w:numPr>
        <w:tabs>
          <w:tab w:val="clear" w:pos="510"/>
          <w:tab w:val="clear" w:pos="8732"/>
          <w:tab w:val="left" w:pos="-8915"/>
          <w:tab w:val="left" w:pos="-693"/>
        </w:tabs>
      </w:pPr>
      <w:r w:rsidRPr="007C1D1D">
        <w:rPr>
          <w:b/>
        </w:rPr>
        <w:t>Une note RSE</w:t>
      </w:r>
      <w:r>
        <w:t xml:space="preserve"> dont les éléments attendus sont indiqués en annexe du règlement de la consultation</w:t>
      </w:r>
    </w:p>
    <w:p w14:paraId="7DC9CE35" w14:textId="77777777" w:rsidR="001B04DE" w:rsidRDefault="001B04DE" w:rsidP="001B04DE">
      <w:pPr>
        <w:pStyle w:val="Redaliapuces"/>
        <w:numPr>
          <w:ilvl w:val="0"/>
          <w:numId w:val="0"/>
        </w:numPr>
        <w:ind w:left="227" w:hanging="227"/>
        <w:rPr>
          <w:highlight w:val="yellow"/>
        </w:rPr>
      </w:pPr>
    </w:p>
    <w:p w14:paraId="41F8C821" w14:textId="77777777" w:rsidR="006F6BCF" w:rsidRDefault="004073B9" w:rsidP="004073B9">
      <w:pPr>
        <w:pStyle w:val="RedaliaTitre3"/>
      </w:pPr>
      <w:r>
        <w:lastRenderedPageBreak/>
        <w:t>Dispositions communes</w:t>
      </w:r>
    </w:p>
    <w:p w14:paraId="472F41C1" w14:textId="77777777" w:rsidR="006F6BCF" w:rsidRDefault="004073B9">
      <w:pPr>
        <w:pStyle w:val="RedaliaNormal"/>
      </w:pPr>
      <w:r>
        <w:t>Pour chacun des deux lots : l</w:t>
      </w:r>
      <w:r w:rsidR="00766059">
        <w:t>es documents remis par le pouvoir adjudicateur à l’exception de :</w:t>
      </w:r>
    </w:p>
    <w:p w14:paraId="7AFA5AB5" w14:textId="77777777" w:rsidR="006F6BCF" w:rsidRDefault="00766059">
      <w:pPr>
        <w:pStyle w:val="Redaliapuces"/>
        <w:numPr>
          <w:ilvl w:val="0"/>
          <w:numId w:val="7"/>
        </w:numPr>
      </w:pPr>
      <w:r>
        <w:t>Ceux listés ci-dessus ainsi que leurs annexes</w:t>
      </w:r>
    </w:p>
    <w:p w14:paraId="7176D8EC" w14:textId="77777777" w:rsidR="006F6BCF" w:rsidRDefault="00766059">
      <w:pPr>
        <w:pStyle w:val="Redaliapuces"/>
        <w:numPr>
          <w:ilvl w:val="0"/>
          <w:numId w:val="7"/>
        </w:numPr>
      </w:pPr>
      <w:r>
        <w:t>Le Contrat dûment complété par le soumissionnaire</w:t>
      </w:r>
    </w:p>
    <w:p w14:paraId="776CC9A5" w14:textId="77777777" w:rsidR="004073B9" w:rsidRDefault="004073B9" w:rsidP="004073B9">
      <w:pPr>
        <w:pStyle w:val="Redaliapuces"/>
        <w:numPr>
          <w:ilvl w:val="0"/>
          <w:numId w:val="0"/>
        </w:numPr>
        <w:ind w:left="227" w:hanging="227"/>
      </w:pPr>
    </w:p>
    <w:p w14:paraId="2380BF25" w14:textId="77777777" w:rsidR="006F6BCF" w:rsidRDefault="00766059">
      <w:pPr>
        <w:pStyle w:val="RedaliaNormal"/>
      </w:pPr>
      <w:r>
        <w:t>Ne sont pas à remettre dans l’offre. Seuls les documents détenus par le Pouvoir Adjudicateur font foi. Y compris le Contrat si des modifications – autres que celles exigées pour son remplissage - ont été apportés par le soumissionnaire.</w:t>
      </w:r>
    </w:p>
    <w:p w14:paraId="18A6D1CC" w14:textId="77777777" w:rsidR="006F6BCF" w:rsidRDefault="00766059">
      <w:pPr>
        <w:pStyle w:val="RedaliaNormal"/>
      </w:pPr>
      <w:r>
        <w:t>Il est rappelé aux candidats que la signature du Contrat Unique vaut acceptation de toutes les pièces contractuelles.</w:t>
      </w:r>
    </w:p>
    <w:p w14:paraId="52CB4936" w14:textId="77777777" w:rsidR="006F6BCF" w:rsidRDefault="00766059">
      <w:pPr>
        <w:pStyle w:val="RedaliaTitre2"/>
      </w:pPr>
      <w:bookmarkStart w:id="37" w:name="_Toc170898457"/>
      <w:bookmarkStart w:id="38" w:name="_Toc204789938"/>
      <w:r>
        <w:t>Jugement des offres</w:t>
      </w:r>
      <w:bookmarkEnd w:id="37"/>
      <w:bookmarkEnd w:id="38"/>
    </w:p>
    <w:p w14:paraId="5BC48F1B" w14:textId="77777777" w:rsidR="006F6BCF" w:rsidRDefault="00766059">
      <w:pPr>
        <w:pStyle w:val="RedaliaNormal"/>
      </w:pPr>
      <w:r>
        <w:t>Les critères intervenant pour le jugement des offres sont les suivants :</w:t>
      </w:r>
    </w:p>
    <w:p w14:paraId="1EB2EDA1" w14:textId="77777777" w:rsidR="006F6BCF" w:rsidRDefault="00766059" w:rsidP="004073B9">
      <w:pPr>
        <w:pStyle w:val="RedaliaTitre3"/>
      </w:pPr>
      <w:r>
        <w:t>Pour le lot n°01 :</w:t>
      </w:r>
    </w:p>
    <w:tbl>
      <w:tblPr>
        <w:tblW w:w="9913" w:type="dxa"/>
        <w:tblLayout w:type="fixed"/>
        <w:tblCellMar>
          <w:left w:w="0" w:type="dxa"/>
          <w:right w:w="0" w:type="dxa"/>
        </w:tblCellMar>
        <w:tblLook w:val="04A0" w:firstRow="1" w:lastRow="0" w:firstColumn="1" w:lastColumn="0" w:noHBand="0" w:noVBand="1"/>
      </w:tblPr>
      <w:tblGrid>
        <w:gridCol w:w="8212"/>
        <w:gridCol w:w="1701"/>
      </w:tblGrid>
      <w:tr w:rsidR="004073B9" w:rsidRPr="004073B9" w14:paraId="1D36DF9F" w14:textId="77777777" w:rsidTr="006F5FDC">
        <w:tc>
          <w:tcPr>
            <w:tcW w:w="821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15305C4" w14:textId="77777777" w:rsidR="004073B9" w:rsidRPr="004073B9" w:rsidRDefault="004073B9" w:rsidP="004073B9">
            <w:pPr>
              <w:pStyle w:val="RedaliaNormal"/>
            </w:pPr>
            <w:r w:rsidRPr="004073B9">
              <w:rPr>
                <w:b/>
                <w:bCs/>
              </w:rPr>
              <w:t>CRITERES POUR LOT 1</w:t>
            </w:r>
          </w:p>
        </w:tc>
        <w:tc>
          <w:tcPr>
            <w:tcW w:w="17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9110698" w14:textId="77777777" w:rsidR="004073B9" w:rsidRPr="004073B9" w:rsidRDefault="004073B9" w:rsidP="004073B9">
            <w:pPr>
              <w:pStyle w:val="RedaliaNormal"/>
              <w:rPr>
                <w:b/>
                <w:bCs/>
              </w:rPr>
            </w:pPr>
            <w:r w:rsidRPr="004073B9">
              <w:rPr>
                <w:b/>
                <w:bCs/>
              </w:rPr>
              <w:t>Pondération</w:t>
            </w:r>
          </w:p>
        </w:tc>
      </w:tr>
      <w:tr w:rsidR="004073B9" w:rsidRPr="004073B9" w14:paraId="70413BB4" w14:textId="77777777" w:rsidTr="006F5FDC">
        <w:tc>
          <w:tcPr>
            <w:tcW w:w="8212" w:type="dxa"/>
            <w:tcBorders>
              <w:top w:val="nil"/>
              <w:left w:val="single" w:sz="8" w:space="0" w:color="auto"/>
              <w:bottom w:val="single" w:sz="8" w:space="0" w:color="auto"/>
              <w:right w:val="single" w:sz="8" w:space="0" w:color="auto"/>
            </w:tcBorders>
            <w:shd w:val="clear" w:color="auto" w:fill="00B0F0"/>
            <w:tcMar>
              <w:top w:w="0" w:type="dxa"/>
              <w:left w:w="108" w:type="dxa"/>
              <w:bottom w:w="0" w:type="dxa"/>
              <w:right w:w="108" w:type="dxa"/>
            </w:tcMar>
            <w:hideMark/>
          </w:tcPr>
          <w:p w14:paraId="5D2D878A" w14:textId="77777777" w:rsidR="004073B9" w:rsidRPr="004073B9" w:rsidRDefault="004073B9" w:rsidP="004073B9">
            <w:pPr>
              <w:pStyle w:val="RedaliaNormal"/>
              <w:rPr>
                <w:b/>
              </w:rPr>
            </w:pPr>
            <w:r w:rsidRPr="004073B9">
              <w:rPr>
                <w:b/>
              </w:rPr>
              <w:t>Critères Financiers</w:t>
            </w:r>
          </w:p>
        </w:tc>
        <w:tc>
          <w:tcPr>
            <w:tcW w:w="1701" w:type="dxa"/>
            <w:tcBorders>
              <w:top w:val="nil"/>
              <w:left w:val="nil"/>
              <w:bottom w:val="single" w:sz="8" w:space="0" w:color="auto"/>
              <w:right w:val="single" w:sz="8" w:space="0" w:color="auto"/>
            </w:tcBorders>
            <w:shd w:val="clear" w:color="auto" w:fill="00B0F0"/>
            <w:tcMar>
              <w:top w:w="0" w:type="dxa"/>
              <w:left w:w="108" w:type="dxa"/>
              <w:bottom w:w="0" w:type="dxa"/>
              <w:right w:w="108" w:type="dxa"/>
            </w:tcMar>
          </w:tcPr>
          <w:p w14:paraId="36B59C7D" w14:textId="77777777" w:rsidR="004073B9" w:rsidRPr="004073B9" w:rsidRDefault="004073B9" w:rsidP="004073B9">
            <w:pPr>
              <w:pStyle w:val="RedaliaNormal"/>
              <w:rPr>
                <w:b/>
                <w:bCs/>
              </w:rPr>
            </w:pPr>
          </w:p>
        </w:tc>
      </w:tr>
      <w:tr w:rsidR="00DE133F" w:rsidRPr="004073B9" w14:paraId="61A1062D" w14:textId="77777777" w:rsidTr="006F5FDC">
        <w:tc>
          <w:tcPr>
            <w:tcW w:w="821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FFAE851" w14:textId="77777777" w:rsidR="00DE133F" w:rsidRDefault="00DE133F" w:rsidP="00DE133F">
            <w:pPr>
              <w:pStyle w:val="RedaliaNormal"/>
              <w:textAlignment w:val="auto"/>
              <w:rPr>
                <w:color w:val="000000"/>
                <w:szCs w:val="22"/>
              </w:rPr>
            </w:pPr>
            <w:r>
              <w:rPr>
                <w:color w:val="000000"/>
                <w:szCs w:val="22"/>
              </w:rPr>
              <w:t xml:space="preserve">Définition du critère : La note de 40 sera attribuée au candidat ayant remis l'offre financière (montant total du DQE) la moins </w:t>
            </w:r>
            <w:proofErr w:type="spellStart"/>
            <w:r>
              <w:rPr>
                <w:color w:val="000000"/>
                <w:szCs w:val="22"/>
              </w:rPr>
              <w:t>disante</w:t>
            </w:r>
            <w:proofErr w:type="spellEnd"/>
            <w:r>
              <w:rPr>
                <w:color w:val="000000"/>
                <w:szCs w:val="22"/>
              </w:rPr>
              <w:t>.</w:t>
            </w:r>
          </w:p>
          <w:p w14:paraId="561E52D8" w14:textId="5300C07D" w:rsidR="00DE133F" w:rsidRPr="004073B9" w:rsidRDefault="00DE133F" w:rsidP="00DE133F">
            <w:pPr>
              <w:pStyle w:val="RedaliaNormal"/>
            </w:pPr>
            <w:r w:rsidRPr="00757DDB">
              <w:rPr>
                <w:color w:val="000000"/>
                <w:szCs w:val="22"/>
              </w:rPr>
              <w:t xml:space="preserve">Les autres candidats se verront appliquer une note calculée sur la base de la </w:t>
            </w:r>
            <w:r w:rsidR="001A62A7">
              <w:rPr>
                <w:color w:val="000000"/>
                <w:szCs w:val="22"/>
              </w:rPr>
              <w:t xml:space="preserve">moyenne des </w:t>
            </w:r>
            <w:r w:rsidRPr="00757DDB">
              <w:rPr>
                <w:color w:val="000000"/>
                <w:szCs w:val="22"/>
              </w:rPr>
              <w:t>formule</w:t>
            </w:r>
            <w:r w:rsidR="001A62A7">
              <w:rPr>
                <w:color w:val="000000"/>
                <w:szCs w:val="22"/>
              </w:rPr>
              <w:t>s</w:t>
            </w:r>
            <w:r w:rsidRPr="00757DDB">
              <w:rPr>
                <w:color w:val="000000"/>
                <w:szCs w:val="22"/>
              </w:rPr>
              <w:t xml:space="preserve"> </w:t>
            </w:r>
            <w:r w:rsidR="001A62A7" w:rsidRPr="001A62A7">
              <w:rPr>
                <w:color w:val="000000"/>
                <w:szCs w:val="22"/>
              </w:rPr>
              <w:t xml:space="preserve">(prix le plus bas/prix de l'offre </w:t>
            </w:r>
            <w:proofErr w:type="gramStart"/>
            <w:r w:rsidR="001A62A7" w:rsidRPr="001A62A7">
              <w:rPr>
                <w:color w:val="000000"/>
                <w:szCs w:val="22"/>
              </w:rPr>
              <w:t>examinée)*</w:t>
            </w:r>
            <w:proofErr w:type="gramEnd"/>
            <w:r w:rsidR="001A62A7">
              <w:rPr>
                <w:color w:val="000000"/>
                <w:szCs w:val="22"/>
              </w:rPr>
              <w:t xml:space="preserve">40 </w:t>
            </w:r>
            <w:r w:rsidR="001A62A7" w:rsidRPr="001A62A7">
              <w:rPr>
                <w:b/>
                <w:bCs/>
                <w:color w:val="000000"/>
                <w:szCs w:val="22"/>
              </w:rPr>
              <w:t>et</w:t>
            </w:r>
            <w:r w:rsidR="001A62A7">
              <w:rPr>
                <w:color w:val="000000"/>
                <w:szCs w:val="22"/>
              </w:rPr>
              <w:t xml:space="preserve"> 40</w:t>
            </w:r>
            <w:r w:rsidR="001A62A7" w:rsidRPr="001A62A7">
              <w:rPr>
                <w:color w:val="000000"/>
                <w:szCs w:val="22"/>
              </w:rPr>
              <w:t>-</w:t>
            </w:r>
            <w:r w:rsidR="001A62A7">
              <w:rPr>
                <w:color w:val="000000"/>
                <w:szCs w:val="22"/>
              </w:rPr>
              <w:t>40</w:t>
            </w:r>
            <w:r w:rsidR="001A62A7" w:rsidRPr="001A62A7">
              <w:rPr>
                <w:color w:val="000000"/>
                <w:szCs w:val="22"/>
              </w:rPr>
              <w:t>*[(prix de l'offre examinée-prix le plus bas)/(prix le plus élevé-prix le plus bas)]</w:t>
            </w:r>
            <w:r w:rsidR="001A62A7" w:rsidRPr="00757DDB" w:rsidDel="001A62A7">
              <w:rPr>
                <w:color w:val="000000"/>
                <w:szCs w:val="22"/>
              </w:rPr>
              <w:t xml:space="preserve"> </w:t>
            </w: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14:paraId="645D12A4" w14:textId="77777777" w:rsidR="00DE133F" w:rsidRPr="004073B9" w:rsidRDefault="00DE133F" w:rsidP="00DE133F">
            <w:pPr>
              <w:pStyle w:val="RedaliaNormal"/>
              <w:ind w:left="360"/>
              <w:rPr>
                <w:b/>
                <w:bCs/>
              </w:rPr>
            </w:pPr>
            <w:r w:rsidRPr="004073B9">
              <w:rPr>
                <w:b/>
                <w:bCs/>
              </w:rPr>
              <w:t>40</w:t>
            </w:r>
          </w:p>
        </w:tc>
      </w:tr>
      <w:tr w:rsidR="00DE133F" w:rsidRPr="004073B9" w14:paraId="7A8860C8" w14:textId="77777777" w:rsidTr="006F5FDC">
        <w:tc>
          <w:tcPr>
            <w:tcW w:w="8212" w:type="dxa"/>
            <w:tcBorders>
              <w:top w:val="nil"/>
              <w:left w:val="single" w:sz="8" w:space="0" w:color="auto"/>
              <w:bottom w:val="single" w:sz="8" w:space="0" w:color="auto"/>
              <w:right w:val="single" w:sz="8" w:space="0" w:color="auto"/>
            </w:tcBorders>
            <w:shd w:val="clear" w:color="auto" w:fill="00B0F0"/>
            <w:tcMar>
              <w:top w:w="0" w:type="dxa"/>
              <w:left w:w="108" w:type="dxa"/>
              <w:bottom w:w="0" w:type="dxa"/>
              <w:right w:w="108" w:type="dxa"/>
            </w:tcMar>
            <w:hideMark/>
          </w:tcPr>
          <w:p w14:paraId="7976DC10" w14:textId="77777777" w:rsidR="00DE133F" w:rsidRPr="004073B9" w:rsidRDefault="00DE133F" w:rsidP="00DE133F">
            <w:pPr>
              <w:pStyle w:val="RedaliaNormal"/>
              <w:rPr>
                <w:b/>
              </w:rPr>
            </w:pPr>
            <w:r w:rsidRPr="004073B9">
              <w:rPr>
                <w:b/>
              </w:rPr>
              <w:t>Critères Techniques</w:t>
            </w:r>
          </w:p>
        </w:tc>
        <w:tc>
          <w:tcPr>
            <w:tcW w:w="1701" w:type="dxa"/>
            <w:tcBorders>
              <w:top w:val="nil"/>
              <w:left w:val="nil"/>
              <w:bottom w:val="single" w:sz="8" w:space="0" w:color="auto"/>
              <w:right w:val="single" w:sz="8" w:space="0" w:color="auto"/>
            </w:tcBorders>
            <w:shd w:val="clear" w:color="auto" w:fill="00B0F0"/>
            <w:tcMar>
              <w:top w:w="0" w:type="dxa"/>
              <w:left w:w="108" w:type="dxa"/>
              <w:bottom w:w="0" w:type="dxa"/>
              <w:right w:w="108" w:type="dxa"/>
            </w:tcMar>
            <w:hideMark/>
          </w:tcPr>
          <w:p w14:paraId="5FE54B58" w14:textId="77777777" w:rsidR="00DE133F" w:rsidRPr="004073B9" w:rsidRDefault="00DE133F" w:rsidP="00DE133F">
            <w:pPr>
              <w:pStyle w:val="RedaliaNormal"/>
              <w:ind w:left="360"/>
              <w:rPr>
                <w:b/>
                <w:bCs/>
              </w:rPr>
            </w:pPr>
            <w:r w:rsidRPr="004073B9">
              <w:rPr>
                <w:b/>
                <w:bCs/>
              </w:rPr>
              <w:t>50</w:t>
            </w:r>
          </w:p>
        </w:tc>
      </w:tr>
      <w:tr w:rsidR="00DE133F" w:rsidRPr="004073B9" w14:paraId="09BF6046" w14:textId="77777777" w:rsidTr="006F5FDC">
        <w:tc>
          <w:tcPr>
            <w:tcW w:w="821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CF5D57C" w14:textId="1045ABA4" w:rsidR="00DE133F" w:rsidRPr="004073B9" w:rsidRDefault="00DE133F" w:rsidP="00DE133F">
            <w:pPr>
              <w:pStyle w:val="RedaliaNormal"/>
            </w:pPr>
            <w:r w:rsidRPr="004073B9">
              <w:t xml:space="preserve">Méthodologie </w:t>
            </w:r>
            <w:r w:rsidR="001A62A7">
              <w:t xml:space="preserve">d’exécution de la prestation </w:t>
            </w:r>
            <w:r w:rsidRPr="004073B9">
              <w:t>(exemples de livrables, outils</w:t>
            </w:r>
            <w:r>
              <w:t>,</w:t>
            </w:r>
            <w:r w:rsidRPr="004073B9">
              <w:t xml:space="preserve"> planning, indicateurs (cartographie par profil), méthodologie projet …)</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E0BE790" w14:textId="77777777" w:rsidR="00DE133F" w:rsidRPr="004073B9" w:rsidRDefault="00DE133F" w:rsidP="00DE133F">
            <w:pPr>
              <w:pStyle w:val="RedaliaNormal"/>
              <w:ind w:left="360"/>
              <w:rPr>
                <w:b/>
                <w:bCs/>
              </w:rPr>
            </w:pPr>
            <w:r w:rsidRPr="004073B9">
              <w:t>10</w:t>
            </w:r>
          </w:p>
        </w:tc>
      </w:tr>
      <w:tr w:rsidR="00DE133F" w:rsidRPr="004073B9" w14:paraId="0D0734A1" w14:textId="77777777" w:rsidTr="006F5FDC">
        <w:tc>
          <w:tcPr>
            <w:tcW w:w="821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DDD128F" w14:textId="77777777" w:rsidR="00DE133F" w:rsidRPr="004073B9" w:rsidRDefault="00DE133F" w:rsidP="00DE133F">
            <w:pPr>
              <w:pStyle w:val="RedaliaNormal"/>
            </w:pPr>
            <w:r w:rsidRPr="004073B9">
              <w:t>Présentation de profils démontrant la capacité de mettre en œuvre les prestations attendues et notamment dans le domaine des services financiers ; en France ou dans le cadre de l’aide au développement.</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51DA31B" w14:textId="77777777" w:rsidR="00DE133F" w:rsidRPr="004073B9" w:rsidRDefault="00DE133F" w:rsidP="00DE133F">
            <w:pPr>
              <w:pStyle w:val="RedaliaNormal"/>
              <w:ind w:left="360"/>
              <w:rPr>
                <w:b/>
                <w:bCs/>
              </w:rPr>
            </w:pPr>
            <w:r w:rsidRPr="004073B9">
              <w:t>30</w:t>
            </w:r>
          </w:p>
        </w:tc>
      </w:tr>
      <w:tr w:rsidR="00DE133F" w:rsidRPr="004073B9" w14:paraId="182F259F" w14:textId="77777777" w:rsidTr="006F5FDC">
        <w:tc>
          <w:tcPr>
            <w:tcW w:w="821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87AB4AA" w14:textId="77777777" w:rsidR="00DE133F" w:rsidRPr="004073B9" w:rsidRDefault="00DE133F" w:rsidP="00DE133F">
            <w:pPr>
              <w:pStyle w:val="RedaliaNormal"/>
            </w:pPr>
            <w:r w:rsidRPr="004073B9">
              <w:t xml:space="preserve">Méthodologie de suivi de la prestation </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671D618" w14:textId="77777777" w:rsidR="00DE133F" w:rsidRPr="004073B9" w:rsidRDefault="00DE133F" w:rsidP="00DE133F">
            <w:pPr>
              <w:pStyle w:val="RedaliaNormal"/>
              <w:ind w:left="360"/>
            </w:pPr>
            <w:r w:rsidRPr="004073B9">
              <w:t>10</w:t>
            </w:r>
          </w:p>
        </w:tc>
      </w:tr>
      <w:tr w:rsidR="00DE133F" w:rsidRPr="004073B9" w14:paraId="056028CB" w14:textId="77777777" w:rsidTr="006F5FDC">
        <w:tc>
          <w:tcPr>
            <w:tcW w:w="8212" w:type="dxa"/>
            <w:tcBorders>
              <w:top w:val="nil"/>
              <w:left w:val="single" w:sz="8" w:space="0" w:color="auto"/>
              <w:bottom w:val="single" w:sz="8" w:space="0" w:color="auto"/>
              <w:right w:val="single" w:sz="8" w:space="0" w:color="auto"/>
            </w:tcBorders>
            <w:shd w:val="clear" w:color="auto" w:fill="00B0F0"/>
            <w:tcMar>
              <w:top w:w="0" w:type="dxa"/>
              <w:left w:w="108" w:type="dxa"/>
              <w:bottom w:w="0" w:type="dxa"/>
              <w:right w:w="108" w:type="dxa"/>
            </w:tcMar>
            <w:hideMark/>
          </w:tcPr>
          <w:p w14:paraId="63C30280" w14:textId="77777777" w:rsidR="00DE133F" w:rsidRPr="004073B9" w:rsidRDefault="00DE133F" w:rsidP="00DE133F">
            <w:pPr>
              <w:pStyle w:val="RedaliaNormal"/>
              <w:rPr>
                <w:b/>
              </w:rPr>
            </w:pPr>
            <w:r w:rsidRPr="004073B9">
              <w:rPr>
                <w:b/>
              </w:rPr>
              <w:t>Critères RSE</w:t>
            </w:r>
          </w:p>
        </w:tc>
        <w:tc>
          <w:tcPr>
            <w:tcW w:w="1701" w:type="dxa"/>
            <w:tcBorders>
              <w:top w:val="nil"/>
              <w:left w:val="nil"/>
              <w:bottom w:val="single" w:sz="8" w:space="0" w:color="auto"/>
              <w:right w:val="single" w:sz="8" w:space="0" w:color="auto"/>
            </w:tcBorders>
            <w:shd w:val="clear" w:color="auto" w:fill="00B0F0"/>
            <w:tcMar>
              <w:top w:w="0" w:type="dxa"/>
              <w:left w:w="108" w:type="dxa"/>
              <w:bottom w:w="0" w:type="dxa"/>
              <w:right w:w="108" w:type="dxa"/>
            </w:tcMar>
            <w:hideMark/>
          </w:tcPr>
          <w:p w14:paraId="4B43DC1D" w14:textId="77777777" w:rsidR="00DE133F" w:rsidRPr="004073B9" w:rsidRDefault="00DE133F" w:rsidP="00DE133F">
            <w:pPr>
              <w:pStyle w:val="RedaliaNormal"/>
              <w:ind w:left="360"/>
              <w:rPr>
                <w:b/>
                <w:bCs/>
              </w:rPr>
            </w:pPr>
            <w:r w:rsidRPr="004073B9">
              <w:rPr>
                <w:b/>
                <w:bCs/>
              </w:rPr>
              <w:t>10</w:t>
            </w:r>
          </w:p>
        </w:tc>
      </w:tr>
      <w:tr w:rsidR="00DE133F" w:rsidRPr="004073B9" w14:paraId="554EBEFB" w14:textId="77777777" w:rsidTr="006F5FDC">
        <w:tc>
          <w:tcPr>
            <w:tcW w:w="821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74DF309" w14:textId="77777777" w:rsidR="00DE133F" w:rsidRPr="00B7159E" w:rsidRDefault="00DE133F" w:rsidP="00DE133F">
            <w:pPr>
              <w:pStyle w:val="RedaliaNormal"/>
              <w:textAlignment w:val="auto"/>
            </w:pPr>
            <w:bookmarkStart w:id="39" w:name="_Toc164762458"/>
            <w:r w:rsidRPr="00B7159E">
              <w:t xml:space="preserve">Qualité des dispositions RSE qui seront mis en œuvre pour l’exécution du contrat </w:t>
            </w:r>
          </w:p>
          <w:bookmarkEnd w:id="39"/>
          <w:p w14:paraId="34718E57" w14:textId="77777777" w:rsidR="00DE133F" w:rsidRPr="007B3E54" w:rsidRDefault="00DE133F" w:rsidP="00DE133F">
            <w:pPr>
              <w:pStyle w:val="RedaliaNormal"/>
              <w:numPr>
                <w:ilvl w:val="0"/>
                <w:numId w:val="27"/>
              </w:numPr>
              <w:textAlignment w:val="auto"/>
            </w:pPr>
            <w:r w:rsidRPr="007B3E54">
              <w:t>Spécification technique environnementale : exigences pour le climat</w:t>
            </w:r>
          </w:p>
          <w:p w14:paraId="036E72EE" w14:textId="77777777" w:rsidR="00DE133F" w:rsidRDefault="00DE133F" w:rsidP="00DE133F">
            <w:pPr>
              <w:pStyle w:val="RedaliaNormal"/>
              <w:ind w:left="174"/>
              <w:textAlignment w:val="auto"/>
              <w:rPr>
                <w:color w:val="000000"/>
                <w:sz w:val="20"/>
              </w:rPr>
            </w:pPr>
            <w:bookmarkStart w:id="40" w:name="_Toc164762463"/>
            <w:r>
              <w:rPr>
                <w:color w:val="000000"/>
                <w:sz w:val="20"/>
              </w:rPr>
              <w:t xml:space="preserve">Actions de réduction des émissions carbone ou des consommations d’énergie applicables à l’achat </w:t>
            </w:r>
          </w:p>
          <w:bookmarkEnd w:id="40"/>
          <w:p w14:paraId="3F3BC756" w14:textId="77777777" w:rsidR="00DE133F" w:rsidRDefault="00DE133F" w:rsidP="00DE133F">
            <w:pPr>
              <w:pStyle w:val="RedaliaNormal"/>
              <w:ind w:left="174"/>
              <w:textAlignment w:val="auto"/>
              <w:rPr>
                <w:color w:val="000000"/>
                <w:sz w:val="20"/>
              </w:rPr>
            </w:pPr>
            <w:r>
              <w:rPr>
                <w:color w:val="000000"/>
                <w:sz w:val="20"/>
              </w:rPr>
              <w:t>Bilan des émissions carbone ou des consommations d’énergie de l'achat réalisable et plan de réduction des émissions/ consommations</w:t>
            </w:r>
          </w:p>
          <w:p w14:paraId="735B14E4" w14:textId="77777777" w:rsidR="00DE133F" w:rsidRPr="00B7159E" w:rsidRDefault="00DE133F" w:rsidP="00DE133F">
            <w:pPr>
              <w:pStyle w:val="RedaliaNormal"/>
              <w:numPr>
                <w:ilvl w:val="0"/>
                <w:numId w:val="27"/>
              </w:numPr>
              <w:textAlignment w:val="auto"/>
            </w:pPr>
            <w:r w:rsidRPr="00B7159E">
              <w:t xml:space="preserve">Conditions d’exécution sociales </w:t>
            </w:r>
          </w:p>
          <w:p w14:paraId="455AAB70" w14:textId="083D6931" w:rsidR="00DE133F" w:rsidRPr="004073B9" w:rsidRDefault="00DE133F" w:rsidP="006F5FDC">
            <w:pPr>
              <w:pStyle w:val="RedaliaNormal"/>
              <w:ind w:left="360"/>
            </w:pPr>
            <w:r>
              <w:t>(Cf. Cadre de Réponse ci-dessous)</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14:paraId="426FC7BF" w14:textId="77777777" w:rsidR="00DE133F" w:rsidRPr="004073B9" w:rsidRDefault="00DE133F" w:rsidP="00DE133F">
            <w:pPr>
              <w:pStyle w:val="RedaliaNormal"/>
              <w:rPr>
                <w:b/>
                <w:bCs/>
              </w:rPr>
            </w:pPr>
          </w:p>
        </w:tc>
      </w:tr>
    </w:tbl>
    <w:p w14:paraId="49017FCB" w14:textId="77777777" w:rsidR="004073B9" w:rsidRDefault="004073B9">
      <w:pPr>
        <w:pStyle w:val="RedaliaNormal"/>
      </w:pPr>
    </w:p>
    <w:p w14:paraId="59907C11" w14:textId="77777777" w:rsidR="005026A5" w:rsidRDefault="005026A5" w:rsidP="005026A5">
      <w:pPr>
        <w:pStyle w:val="RedaliaTitre3"/>
      </w:pPr>
      <w:r>
        <w:t>Pour le Lot n°02 :</w:t>
      </w:r>
    </w:p>
    <w:tbl>
      <w:tblPr>
        <w:tblW w:w="9913" w:type="dxa"/>
        <w:tblCellMar>
          <w:left w:w="0" w:type="dxa"/>
          <w:right w:w="0" w:type="dxa"/>
        </w:tblCellMar>
        <w:tblLook w:val="04A0" w:firstRow="1" w:lastRow="0" w:firstColumn="1" w:lastColumn="0" w:noHBand="0" w:noVBand="1"/>
      </w:tblPr>
      <w:tblGrid>
        <w:gridCol w:w="8133"/>
        <w:gridCol w:w="1780"/>
      </w:tblGrid>
      <w:tr w:rsidR="005026A5" w:rsidRPr="004073B9" w14:paraId="7CD7EB3F" w14:textId="77777777" w:rsidTr="006F5FDC">
        <w:tc>
          <w:tcPr>
            <w:tcW w:w="813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6F4728B" w14:textId="770E28F9" w:rsidR="005026A5" w:rsidRPr="004073B9" w:rsidRDefault="005026A5" w:rsidP="000337BA">
            <w:pPr>
              <w:pStyle w:val="RedaliaNormal"/>
            </w:pPr>
            <w:r w:rsidRPr="004073B9">
              <w:rPr>
                <w:b/>
                <w:bCs/>
              </w:rPr>
              <w:t xml:space="preserve">CRITERES POUR LOT </w:t>
            </w:r>
            <w:r w:rsidR="00626300">
              <w:rPr>
                <w:b/>
                <w:bCs/>
              </w:rPr>
              <w:t>2</w:t>
            </w:r>
          </w:p>
        </w:tc>
        <w:tc>
          <w:tcPr>
            <w:tcW w:w="17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ADAF438" w14:textId="77777777" w:rsidR="005026A5" w:rsidRPr="004073B9" w:rsidRDefault="005026A5" w:rsidP="000337BA">
            <w:pPr>
              <w:pStyle w:val="RedaliaNormal"/>
              <w:rPr>
                <w:b/>
                <w:bCs/>
              </w:rPr>
            </w:pPr>
            <w:r w:rsidRPr="004073B9">
              <w:rPr>
                <w:b/>
                <w:bCs/>
              </w:rPr>
              <w:t>Pondération</w:t>
            </w:r>
          </w:p>
        </w:tc>
      </w:tr>
      <w:tr w:rsidR="005026A5" w:rsidRPr="004073B9" w14:paraId="1EEB26EE" w14:textId="77777777" w:rsidTr="006F5FDC">
        <w:tc>
          <w:tcPr>
            <w:tcW w:w="8133" w:type="dxa"/>
            <w:tcBorders>
              <w:top w:val="nil"/>
              <w:left w:val="single" w:sz="8" w:space="0" w:color="auto"/>
              <w:bottom w:val="single" w:sz="8" w:space="0" w:color="auto"/>
              <w:right w:val="single" w:sz="8" w:space="0" w:color="auto"/>
            </w:tcBorders>
            <w:shd w:val="clear" w:color="auto" w:fill="00B0F0"/>
            <w:tcMar>
              <w:top w:w="0" w:type="dxa"/>
              <w:left w:w="108" w:type="dxa"/>
              <w:bottom w:w="0" w:type="dxa"/>
              <w:right w:w="108" w:type="dxa"/>
            </w:tcMar>
            <w:hideMark/>
          </w:tcPr>
          <w:p w14:paraId="0268C71A" w14:textId="77777777" w:rsidR="005026A5" w:rsidRPr="004073B9" w:rsidRDefault="005026A5" w:rsidP="000337BA">
            <w:pPr>
              <w:pStyle w:val="RedaliaNormal"/>
              <w:rPr>
                <w:b/>
              </w:rPr>
            </w:pPr>
            <w:r w:rsidRPr="004073B9">
              <w:rPr>
                <w:b/>
              </w:rPr>
              <w:t>Critères Financiers</w:t>
            </w:r>
          </w:p>
        </w:tc>
        <w:tc>
          <w:tcPr>
            <w:tcW w:w="1780" w:type="dxa"/>
            <w:tcBorders>
              <w:top w:val="nil"/>
              <w:left w:val="nil"/>
              <w:bottom w:val="single" w:sz="8" w:space="0" w:color="auto"/>
              <w:right w:val="single" w:sz="8" w:space="0" w:color="auto"/>
            </w:tcBorders>
            <w:shd w:val="clear" w:color="auto" w:fill="00B0F0"/>
            <w:tcMar>
              <w:top w:w="0" w:type="dxa"/>
              <w:left w:w="108" w:type="dxa"/>
              <w:bottom w:w="0" w:type="dxa"/>
              <w:right w:w="108" w:type="dxa"/>
            </w:tcMar>
          </w:tcPr>
          <w:p w14:paraId="08AAE3A0" w14:textId="77777777" w:rsidR="005026A5" w:rsidRPr="004073B9" w:rsidRDefault="005026A5" w:rsidP="000337BA">
            <w:pPr>
              <w:pStyle w:val="RedaliaNormal"/>
              <w:rPr>
                <w:b/>
                <w:bCs/>
              </w:rPr>
            </w:pPr>
          </w:p>
        </w:tc>
      </w:tr>
      <w:tr w:rsidR="005026A5" w:rsidRPr="004073B9" w14:paraId="16508A1E" w14:textId="77777777" w:rsidTr="006F5FDC">
        <w:tc>
          <w:tcPr>
            <w:tcW w:w="813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CFC1748" w14:textId="77777777" w:rsidR="00DE133F" w:rsidRDefault="00DE133F" w:rsidP="00DE133F">
            <w:pPr>
              <w:pStyle w:val="RedaliaNormal"/>
              <w:textAlignment w:val="auto"/>
              <w:rPr>
                <w:color w:val="000000"/>
                <w:szCs w:val="22"/>
              </w:rPr>
            </w:pPr>
            <w:r>
              <w:rPr>
                <w:color w:val="000000"/>
                <w:szCs w:val="22"/>
              </w:rPr>
              <w:t xml:space="preserve">Définition du critère : La note de 40 sera attribuée au candidat ayant remis l'offre financière (montant total du DQE) la moins </w:t>
            </w:r>
            <w:proofErr w:type="spellStart"/>
            <w:r>
              <w:rPr>
                <w:color w:val="000000"/>
                <w:szCs w:val="22"/>
              </w:rPr>
              <w:t>disante</w:t>
            </w:r>
            <w:proofErr w:type="spellEnd"/>
            <w:r>
              <w:rPr>
                <w:color w:val="000000"/>
                <w:szCs w:val="22"/>
              </w:rPr>
              <w:t>.</w:t>
            </w:r>
          </w:p>
          <w:p w14:paraId="1F31840A" w14:textId="3AE186FF" w:rsidR="005026A5" w:rsidRPr="004073B9" w:rsidRDefault="001A62A7" w:rsidP="00DE133F">
            <w:pPr>
              <w:pStyle w:val="RedaliaNormal"/>
            </w:pPr>
            <w:r w:rsidRPr="00757DDB">
              <w:rPr>
                <w:color w:val="000000"/>
                <w:szCs w:val="22"/>
              </w:rPr>
              <w:lastRenderedPageBreak/>
              <w:t xml:space="preserve">Les autres candidats se verront appliquer une note calculée sur la base de la </w:t>
            </w:r>
            <w:r>
              <w:rPr>
                <w:color w:val="000000"/>
                <w:szCs w:val="22"/>
              </w:rPr>
              <w:t xml:space="preserve">moyenne des </w:t>
            </w:r>
            <w:r w:rsidRPr="00757DDB">
              <w:rPr>
                <w:color w:val="000000"/>
                <w:szCs w:val="22"/>
              </w:rPr>
              <w:t>formule</w:t>
            </w:r>
            <w:r>
              <w:rPr>
                <w:color w:val="000000"/>
                <w:szCs w:val="22"/>
              </w:rPr>
              <w:t>s</w:t>
            </w:r>
            <w:r w:rsidRPr="00757DDB">
              <w:rPr>
                <w:color w:val="000000"/>
                <w:szCs w:val="22"/>
              </w:rPr>
              <w:t xml:space="preserve"> </w:t>
            </w:r>
            <w:r w:rsidRPr="001A62A7">
              <w:rPr>
                <w:color w:val="000000"/>
                <w:szCs w:val="22"/>
              </w:rPr>
              <w:t xml:space="preserve">(prix le plus bas/prix de l'offre </w:t>
            </w:r>
            <w:proofErr w:type="gramStart"/>
            <w:r w:rsidRPr="001A62A7">
              <w:rPr>
                <w:color w:val="000000"/>
                <w:szCs w:val="22"/>
              </w:rPr>
              <w:t>examinée)*</w:t>
            </w:r>
            <w:proofErr w:type="gramEnd"/>
            <w:r>
              <w:rPr>
                <w:color w:val="000000"/>
                <w:szCs w:val="22"/>
              </w:rPr>
              <w:t xml:space="preserve">40 </w:t>
            </w:r>
            <w:r w:rsidRPr="001A62A7">
              <w:rPr>
                <w:b/>
                <w:bCs/>
                <w:color w:val="000000"/>
                <w:szCs w:val="22"/>
              </w:rPr>
              <w:t>et</w:t>
            </w:r>
            <w:r>
              <w:rPr>
                <w:color w:val="000000"/>
                <w:szCs w:val="22"/>
              </w:rPr>
              <w:t xml:space="preserve"> 40</w:t>
            </w:r>
            <w:r w:rsidRPr="001A62A7">
              <w:rPr>
                <w:color w:val="000000"/>
                <w:szCs w:val="22"/>
              </w:rPr>
              <w:t>-</w:t>
            </w:r>
            <w:r>
              <w:rPr>
                <w:color w:val="000000"/>
                <w:szCs w:val="22"/>
              </w:rPr>
              <w:t>40</w:t>
            </w:r>
            <w:r w:rsidRPr="001A62A7">
              <w:rPr>
                <w:color w:val="000000"/>
                <w:szCs w:val="22"/>
              </w:rPr>
              <w:t>*[(prix de l'offre examinée-prix le plus bas)/(prix le plus élevé-prix le plus bas)]</w:t>
            </w:r>
          </w:p>
        </w:tc>
        <w:tc>
          <w:tcPr>
            <w:tcW w:w="1780" w:type="dxa"/>
            <w:tcBorders>
              <w:top w:val="nil"/>
              <w:left w:val="nil"/>
              <w:bottom w:val="single" w:sz="8" w:space="0" w:color="auto"/>
              <w:right w:val="single" w:sz="8" w:space="0" w:color="auto"/>
            </w:tcBorders>
            <w:tcMar>
              <w:top w:w="0" w:type="dxa"/>
              <w:left w:w="108" w:type="dxa"/>
              <w:bottom w:w="0" w:type="dxa"/>
              <w:right w:w="108" w:type="dxa"/>
            </w:tcMar>
            <w:hideMark/>
          </w:tcPr>
          <w:p w14:paraId="49A33C63" w14:textId="77777777" w:rsidR="005026A5" w:rsidRPr="004073B9" w:rsidRDefault="005026A5" w:rsidP="000337BA">
            <w:pPr>
              <w:pStyle w:val="RedaliaNormal"/>
              <w:ind w:left="360"/>
              <w:rPr>
                <w:b/>
                <w:bCs/>
              </w:rPr>
            </w:pPr>
            <w:r w:rsidRPr="004073B9">
              <w:rPr>
                <w:b/>
                <w:bCs/>
              </w:rPr>
              <w:lastRenderedPageBreak/>
              <w:t>40</w:t>
            </w:r>
          </w:p>
        </w:tc>
      </w:tr>
      <w:tr w:rsidR="005026A5" w:rsidRPr="004073B9" w14:paraId="4F326D5A" w14:textId="77777777" w:rsidTr="006F5FDC">
        <w:tc>
          <w:tcPr>
            <w:tcW w:w="8133" w:type="dxa"/>
            <w:tcBorders>
              <w:top w:val="nil"/>
              <w:left w:val="single" w:sz="8" w:space="0" w:color="auto"/>
              <w:bottom w:val="single" w:sz="8" w:space="0" w:color="auto"/>
              <w:right w:val="single" w:sz="8" w:space="0" w:color="auto"/>
            </w:tcBorders>
            <w:shd w:val="clear" w:color="auto" w:fill="00B0F0"/>
            <w:tcMar>
              <w:top w:w="0" w:type="dxa"/>
              <w:left w:w="108" w:type="dxa"/>
              <w:bottom w:w="0" w:type="dxa"/>
              <w:right w:w="108" w:type="dxa"/>
            </w:tcMar>
            <w:hideMark/>
          </w:tcPr>
          <w:p w14:paraId="2ACF66CF" w14:textId="77777777" w:rsidR="005026A5" w:rsidRPr="004073B9" w:rsidRDefault="005026A5" w:rsidP="000337BA">
            <w:pPr>
              <w:pStyle w:val="RedaliaNormal"/>
              <w:rPr>
                <w:b/>
              </w:rPr>
            </w:pPr>
            <w:r w:rsidRPr="004073B9">
              <w:rPr>
                <w:b/>
              </w:rPr>
              <w:t>Critères Techniques</w:t>
            </w:r>
          </w:p>
        </w:tc>
        <w:tc>
          <w:tcPr>
            <w:tcW w:w="1780" w:type="dxa"/>
            <w:tcBorders>
              <w:top w:val="nil"/>
              <w:left w:val="nil"/>
              <w:bottom w:val="single" w:sz="8" w:space="0" w:color="auto"/>
              <w:right w:val="single" w:sz="8" w:space="0" w:color="auto"/>
            </w:tcBorders>
            <w:shd w:val="clear" w:color="auto" w:fill="00B0F0"/>
            <w:tcMar>
              <w:top w:w="0" w:type="dxa"/>
              <w:left w:w="108" w:type="dxa"/>
              <w:bottom w:w="0" w:type="dxa"/>
              <w:right w:w="108" w:type="dxa"/>
            </w:tcMar>
            <w:hideMark/>
          </w:tcPr>
          <w:p w14:paraId="71A7D8BB" w14:textId="77777777" w:rsidR="005026A5" w:rsidRPr="004073B9" w:rsidRDefault="005026A5" w:rsidP="000337BA">
            <w:pPr>
              <w:pStyle w:val="RedaliaNormal"/>
              <w:ind w:left="360"/>
              <w:rPr>
                <w:b/>
                <w:bCs/>
              </w:rPr>
            </w:pPr>
            <w:r w:rsidRPr="004073B9">
              <w:rPr>
                <w:b/>
                <w:bCs/>
              </w:rPr>
              <w:t>50</w:t>
            </w:r>
          </w:p>
        </w:tc>
      </w:tr>
      <w:tr w:rsidR="005026A5" w:rsidRPr="004073B9" w14:paraId="0FACBBBD" w14:textId="77777777" w:rsidTr="006F5FDC">
        <w:tc>
          <w:tcPr>
            <w:tcW w:w="813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C99F36E" w14:textId="38791FB9" w:rsidR="005026A5" w:rsidRPr="005026A5" w:rsidRDefault="005026A5" w:rsidP="005026A5">
            <w:pPr>
              <w:widowControl/>
              <w:suppressAutoHyphens w:val="0"/>
            </w:pPr>
            <w:r>
              <w:rPr>
                <w:rFonts w:eastAsia="Times New Roman"/>
              </w:rPr>
              <w:t xml:space="preserve">Organisation et Méthodologie d’intervention et de </w:t>
            </w:r>
            <w:r w:rsidR="001A62A7">
              <w:rPr>
                <w:rFonts w:eastAsia="Times New Roman"/>
              </w:rPr>
              <w:t>mise à disposition</w:t>
            </w:r>
            <w:r w:rsidR="001A62A7">
              <w:rPr>
                <w:rFonts w:eastAsia="Times New Roman"/>
              </w:rPr>
              <w:t xml:space="preserve"> </w:t>
            </w:r>
            <w:r>
              <w:rPr>
                <w:rFonts w:eastAsia="Times New Roman"/>
              </w:rPr>
              <w:t xml:space="preserve">de profils de niche pour les prestations </w:t>
            </w:r>
            <w:proofErr w:type="gramStart"/>
            <w:r>
              <w:rPr>
                <w:rFonts w:eastAsia="Times New Roman"/>
              </w:rPr>
              <w:t>attendues:</w:t>
            </w:r>
            <w:proofErr w:type="gramEnd"/>
          </w:p>
          <w:p w14:paraId="7B0E46C0" w14:textId="0B4BAB93" w:rsidR="005026A5" w:rsidRPr="004073B9" w:rsidRDefault="005026A5" w:rsidP="00A55E65">
            <w:pPr>
              <w:pStyle w:val="Paragraphedeliste"/>
              <w:widowControl/>
              <w:numPr>
                <w:ilvl w:val="0"/>
                <w:numId w:val="27"/>
              </w:numPr>
              <w:suppressAutoHyphens w:val="0"/>
            </w:pPr>
            <w:r>
              <w:t xml:space="preserve">Tuilage au-delà des exigences du CCTP, modalités de pilotage, dispositif de suivi, KPI proposés au-delà des exigences du CCTP </w:t>
            </w:r>
          </w:p>
        </w:tc>
        <w:tc>
          <w:tcPr>
            <w:tcW w:w="17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DBD3BD1" w14:textId="77777777" w:rsidR="005026A5" w:rsidRPr="004073B9" w:rsidRDefault="005026A5" w:rsidP="000337BA">
            <w:pPr>
              <w:pStyle w:val="RedaliaNormal"/>
              <w:ind w:left="360"/>
              <w:rPr>
                <w:b/>
                <w:bCs/>
              </w:rPr>
            </w:pPr>
            <w:r>
              <w:t>15</w:t>
            </w:r>
          </w:p>
        </w:tc>
      </w:tr>
      <w:tr w:rsidR="005026A5" w:rsidRPr="004073B9" w14:paraId="69F7D671" w14:textId="77777777" w:rsidTr="006F5FDC">
        <w:tc>
          <w:tcPr>
            <w:tcW w:w="813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0AAEA0B" w14:textId="77777777" w:rsidR="005026A5" w:rsidRPr="005026A5" w:rsidRDefault="005026A5" w:rsidP="005026A5">
            <w:pPr>
              <w:widowControl/>
              <w:suppressAutoHyphens w:val="0"/>
            </w:pPr>
            <w:r w:rsidRPr="005026A5">
              <w:rPr>
                <w:rFonts w:eastAsia="Times New Roman"/>
              </w:rPr>
              <w:t xml:space="preserve">Adéquation des profils proposés / Aptitude à fournir des profils maîtrisant les compétences techniques </w:t>
            </w:r>
            <w:proofErr w:type="gramStart"/>
            <w:r w:rsidRPr="005026A5">
              <w:rPr>
                <w:rFonts w:eastAsia="Times New Roman"/>
              </w:rPr>
              <w:t>requises:</w:t>
            </w:r>
            <w:proofErr w:type="gramEnd"/>
            <w:r w:rsidRPr="005026A5">
              <w:rPr>
                <w:rFonts w:eastAsia="Times New Roman"/>
              </w:rPr>
              <w:t xml:space="preserve"> </w:t>
            </w:r>
          </w:p>
          <w:p w14:paraId="5671A4AF" w14:textId="4D030086" w:rsidR="005026A5" w:rsidRPr="004073B9" w:rsidRDefault="005026A5" w:rsidP="00A55E65">
            <w:pPr>
              <w:pStyle w:val="Paragraphedeliste"/>
              <w:widowControl/>
              <w:numPr>
                <w:ilvl w:val="0"/>
                <w:numId w:val="27"/>
              </w:numPr>
              <w:suppressAutoHyphens w:val="0"/>
            </w:pPr>
            <w:r>
              <w:t>Formation, savoirs faires, méthodologie, certifications, outils</w:t>
            </w:r>
          </w:p>
        </w:tc>
        <w:tc>
          <w:tcPr>
            <w:tcW w:w="17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0C7BF04" w14:textId="7B10EB49" w:rsidR="005026A5" w:rsidRPr="004073B9" w:rsidRDefault="00626300" w:rsidP="000337BA">
            <w:pPr>
              <w:pStyle w:val="RedaliaNormal"/>
              <w:ind w:left="360"/>
              <w:rPr>
                <w:b/>
                <w:bCs/>
              </w:rPr>
            </w:pPr>
            <w:r>
              <w:t>35</w:t>
            </w:r>
          </w:p>
        </w:tc>
      </w:tr>
      <w:tr w:rsidR="005026A5" w:rsidRPr="004073B9" w14:paraId="724465E0" w14:textId="77777777" w:rsidTr="006F5FDC">
        <w:tc>
          <w:tcPr>
            <w:tcW w:w="8133" w:type="dxa"/>
            <w:tcBorders>
              <w:top w:val="nil"/>
              <w:left w:val="single" w:sz="8" w:space="0" w:color="auto"/>
              <w:bottom w:val="single" w:sz="8" w:space="0" w:color="auto"/>
              <w:right w:val="single" w:sz="8" w:space="0" w:color="auto"/>
            </w:tcBorders>
            <w:shd w:val="clear" w:color="auto" w:fill="00B0F0"/>
            <w:tcMar>
              <w:top w:w="0" w:type="dxa"/>
              <w:left w:w="108" w:type="dxa"/>
              <w:bottom w:w="0" w:type="dxa"/>
              <w:right w:w="108" w:type="dxa"/>
            </w:tcMar>
            <w:hideMark/>
          </w:tcPr>
          <w:p w14:paraId="5F041DAA" w14:textId="77777777" w:rsidR="005026A5" w:rsidRPr="004073B9" w:rsidRDefault="005026A5" w:rsidP="000337BA">
            <w:pPr>
              <w:pStyle w:val="RedaliaNormal"/>
              <w:rPr>
                <w:b/>
              </w:rPr>
            </w:pPr>
            <w:r w:rsidRPr="004073B9">
              <w:rPr>
                <w:b/>
              </w:rPr>
              <w:t>Critères RSE</w:t>
            </w:r>
          </w:p>
        </w:tc>
        <w:tc>
          <w:tcPr>
            <w:tcW w:w="1780" w:type="dxa"/>
            <w:tcBorders>
              <w:top w:val="nil"/>
              <w:left w:val="nil"/>
              <w:bottom w:val="single" w:sz="8" w:space="0" w:color="auto"/>
              <w:right w:val="single" w:sz="8" w:space="0" w:color="auto"/>
            </w:tcBorders>
            <w:shd w:val="clear" w:color="auto" w:fill="00B0F0"/>
            <w:tcMar>
              <w:top w:w="0" w:type="dxa"/>
              <w:left w:w="108" w:type="dxa"/>
              <w:bottom w:w="0" w:type="dxa"/>
              <w:right w:w="108" w:type="dxa"/>
            </w:tcMar>
            <w:hideMark/>
          </w:tcPr>
          <w:p w14:paraId="3BF2F240" w14:textId="77777777" w:rsidR="005026A5" w:rsidRPr="004073B9" w:rsidRDefault="005026A5" w:rsidP="000337BA">
            <w:pPr>
              <w:pStyle w:val="RedaliaNormal"/>
              <w:ind w:left="360"/>
              <w:rPr>
                <w:b/>
                <w:bCs/>
              </w:rPr>
            </w:pPr>
            <w:r w:rsidRPr="004073B9">
              <w:rPr>
                <w:b/>
                <w:bCs/>
              </w:rPr>
              <w:t>10</w:t>
            </w:r>
          </w:p>
        </w:tc>
      </w:tr>
      <w:tr w:rsidR="005026A5" w:rsidRPr="004073B9" w14:paraId="2AF31620" w14:textId="77777777" w:rsidTr="006F5FDC">
        <w:trPr>
          <w:trHeight w:val="1137"/>
        </w:trPr>
        <w:tc>
          <w:tcPr>
            <w:tcW w:w="813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7E1747F" w14:textId="77777777" w:rsidR="007B47C7" w:rsidRPr="00B7159E" w:rsidRDefault="007B47C7" w:rsidP="007B47C7">
            <w:pPr>
              <w:pStyle w:val="RedaliaNormal"/>
              <w:textAlignment w:val="auto"/>
            </w:pPr>
            <w:r w:rsidRPr="00B7159E">
              <w:t xml:space="preserve">Qualité des dispositions RSE qui seront mis en œuvre pour l’exécution du contrat </w:t>
            </w:r>
          </w:p>
          <w:p w14:paraId="3F3EF199" w14:textId="77777777" w:rsidR="007B47C7" w:rsidRPr="007B3E54" w:rsidRDefault="007B47C7" w:rsidP="007B47C7">
            <w:pPr>
              <w:pStyle w:val="RedaliaNormal"/>
              <w:numPr>
                <w:ilvl w:val="0"/>
                <w:numId w:val="27"/>
              </w:numPr>
              <w:textAlignment w:val="auto"/>
            </w:pPr>
            <w:r w:rsidRPr="007B3E54">
              <w:t>Spécification technique environnementale : exigences pour le climat</w:t>
            </w:r>
          </w:p>
          <w:p w14:paraId="6CC753AB" w14:textId="77777777" w:rsidR="007B47C7" w:rsidRDefault="007B47C7" w:rsidP="007B47C7">
            <w:pPr>
              <w:pStyle w:val="RedaliaNormal"/>
              <w:ind w:left="174"/>
              <w:textAlignment w:val="auto"/>
              <w:rPr>
                <w:color w:val="000000"/>
                <w:sz w:val="20"/>
              </w:rPr>
            </w:pPr>
            <w:r>
              <w:rPr>
                <w:color w:val="000000"/>
                <w:sz w:val="20"/>
              </w:rPr>
              <w:t xml:space="preserve">Actions de réduction des émissions carbone ou des consommations d’énergie applicables à l’achat </w:t>
            </w:r>
          </w:p>
          <w:p w14:paraId="35E1C633" w14:textId="77777777" w:rsidR="007B47C7" w:rsidRDefault="007B47C7" w:rsidP="007B47C7">
            <w:pPr>
              <w:pStyle w:val="RedaliaNormal"/>
              <w:ind w:left="174"/>
              <w:textAlignment w:val="auto"/>
              <w:rPr>
                <w:color w:val="000000"/>
                <w:sz w:val="20"/>
              </w:rPr>
            </w:pPr>
            <w:r>
              <w:rPr>
                <w:color w:val="000000"/>
                <w:sz w:val="20"/>
              </w:rPr>
              <w:t>Bilan des émissions carbone ou des consommations d’énergie de l'achat réalisable et plan de réduction des émissions/ consommations</w:t>
            </w:r>
          </w:p>
          <w:p w14:paraId="317D6EC4" w14:textId="77777777" w:rsidR="007B47C7" w:rsidRPr="00B7159E" w:rsidRDefault="007B47C7" w:rsidP="007B47C7">
            <w:pPr>
              <w:pStyle w:val="RedaliaNormal"/>
              <w:numPr>
                <w:ilvl w:val="0"/>
                <w:numId w:val="27"/>
              </w:numPr>
              <w:textAlignment w:val="auto"/>
            </w:pPr>
            <w:r w:rsidRPr="00B7159E">
              <w:t xml:space="preserve">Conditions d’exécution sociales </w:t>
            </w:r>
          </w:p>
          <w:p w14:paraId="182EE68B" w14:textId="340F1FAF" w:rsidR="005026A5" w:rsidRPr="004073B9" w:rsidRDefault="007B47C7" w:rsidP="006F5FDC">
            <w:pPr>
              <w:pStyle w:val="RedaliaNormal"/>
              <w:ind w:left="360"/>
            </w:pPr>
            <w:r>
              <w:t>(Cf. Cadre de Réponse ci-dessous)</w:t>
            </w:r>
          </w:p>
        </w:tc>
        <w:tc>
          <w:tcPr>
            <w:tcW w:w="1780" w:type="dxa"/>
            <w:tcBorders>
              <w:top w:val="nil"/>
              <w:left w:val="nil"/>
              <w:bottom w:val="single" w:sz="8" w:space="0" w:color="auto"/>
              <w:right w:val="single" w:sz="8" w:space="0" w:color="auto"/>
            </w:tcBorders>
            <w:tcMar>
              <w:top w:w="0" w:type="dxa"/>
              <w:left w:w="108" w:type="dxa"/>
              <w:bottom w:w="0" w:type="dxa"/>
              <w:right w:w="108" w:type="dxa"/>
            </w:tcMar>
          </w:tcPr>
          <w:p w14:paraId="5A4F300C" w14:textId="77777777" w:rsidR="005026A5" w:rsidRPr="004073B9" w:rsidRDefault="005026A5" w:rsidP="000337BA">
            <w:pPr>
              <w:pStyle w:val="RedaliaNormal"/>
              <w:rPr>
                <w:b/>
                <w:bCs/>
              </w:rPr>
            </w:pPr>
          </w:p>
        </w:tc>
      </w:tr>
    </w:tbl>
    <w:p w14:paraId="4F90EB98" w14:textId="77777777" w:rsidR="006511A1" w:rsidRPr="006511A1" w:rsidRDefault="006511A1" w:rsidP="006511A1"/>
    <w:p w14:paraId="4AA49454" w14:textId="52F106A2" w:rsidR="005026A5" w:rsidRDefault="005026A5" w:rsidP="005026A5">
      <w:pPr>
        <w:pStyle w:val="RedaliaTitre3"/>
      </w:pPr>
      <w:r>
        <w:t>Disposition commune aux deux lots</w:t>
      </w:r>
    </w:p>
    <w:p w14:paraId="6FA6E1D4" w14:textId="2498EF9A" w:rsidR="008F0BBE" w:rsidRPr="007B47C7" w:rsidRDefault="008F0BBE" w:rsidP="000337BA">
      <w:pPr>
        <w:pStyle w:val="RedaliaNormal"/>
        <w:rPr>
          <w:b/>
          <w:u w:val="single"/>
        </w:rPr>
      </w:pPr>
      <w:r w:rsidRPr="007B47C7">
        <w:rPr>
          <w:b/>
          <w:u w:val="single"/>
        </w:rPr>
        <w:t xml:space="preserve">Article commun aux deux lots : </w:t>
      </w:r>
    </w:p>
    <w:p w14:paraId="26DB3807" w14:textId="36833845" w:rsidR="000337BA" w:rsidRPr="000337BA" w:rsidRDefault="000337BA" w:rsidP="000337BA">
      <w:pPr>
        <w:pStyle w:val="RedaliaNormal"/>
      </w:pPr>
      <w:r w:rsidRPr="007B47C7">
        <w:rPr>
          <w:b/>
        </w:rPr>
        <w:t>Les soumissionnaires ayant obtenu une note inférieure à 35/50 au critère technique seront éliminés et ne seront pas conviés pour les éventuelles phases de négociation</w:t>
      </w:r>
      <w:r w:rsidRPr="007B47C7">
        <w:t>. Leurs offres financières ne seront pas étudiées ou prise</w:t>
      </w:r>
      <w:r w:rsidR="0027686F" w:rsidRPr="007B47C7">
        <w:t>s</w:t>
      </w:r>
      <w:r w:rsidRPr="007B47C7">
        <w:t xml:space="preserve"> en compte dans le cadre de l’analyse.</w:t>
      </w:r>
    </w:p>
    <w:p w14:paraId="43013265" w14:textId="77777777" w:rsidR="004073B9" w:rsidRDefault="004073B9">
      <w:pPr>
        <w:pStyle w:val="RedaliaNormal"/>
      </w:pPr>
    </w:p>
    <w:p w14:paraId="1FF71BF8" w14:textId="77777777" w:rsidR="000337BA" w:rsidRDefault="00766059">
      <w:pPr>
        <w:pStyle w:val="RedaliaNormal"/>
      </w:pPr>
      <w:r>
        <w:t xml:space="preserve">Le pouvoir adjudicateur écartera </w:t>
      </w:r>
      <w:r w:rsidR="000337BA">
        <w:t xml:space="preserve">également </w:t>
      </w:r>
      <w:r>
        <w:t xml:space="preserve">les offres inappropriées. </w:t>
      </w:r>
    </w:p>
    <w:p w14:paraId="65F8B350" w14:textId="77777777" w:rsidR="000337BA" w:rsidRDefault="000337BA">
      <w:pPr>
        <w:pStyle w:val="RedaliaNormal"/>
      </w:pPr>
    </w:p>
    <w:p w14:paraId="1103E313" w14:textId="535E90F3" w:rsidR="005A3922" w:rsidRDefault="000337BA">
      <w:pPr>
        <w:pStyle w:val="RedaliaNormal"/>
      </w:pPr>
      <w:r>
        <w:t xml:space="preserve">Les offres des soumissionnaires remplissant les conditions indiquées supra seront classées sur la base des critères de notation spécifiquement définis par lot (art 6.2.1 et 6.2.2 du présent RC), </w:t>
      </w:r>
      <w:r w:rsidR="00B67EDA">
        <w:t xml:space="preserve">et </w:t>
      </w:r>
      <w:r w:rsidRPr="00A55E65">
        <w:t>verront leur soumissionnaire</w:t>
      </w:r>
      <w:r w:rsidR="0027686F" w:rsidRPr="00A55E65">
        <w:t>s</w:t>
      </w:r>
      <w:r w:rsidRPr="00A55E65">
        <w:t xml:space="preserve"> admis à un</w:t>
      </w:r>
      <w:r w:rsidR="005A3922" w:rsidRPr="00A55E65">
        <w:t xml:space="preserve">e première phase de négociation, lors de laquelle </w:t>
      </w:r>
      <w:r w:rsidR="0027686F" w:rsidRPr="00A55E65">
        <w:t>l’ensemble des éléments de l’offre remise seront discutés</w:t>
      </w:r>
      <w:r w:rsidR="0027686F">
        <w:t>. (Une présentation de l’offre sera éventuellement requise de la part du Pouvoir Adjudicateur).</w:t>
      </w:r>
    </w:p>
    <w:p w14:paraId="5D2B0FAA" w14:textId="77777777" w:rsidR="005A3922" w:rsidRDefault="005A3922">
      <w:pPr>
        <w:pStyle w:val="RedaliaNormal"/>
      </w:pPr>
    </w:p>
    <w:p w14:paraId="042E4C92" w14:textId="77777777" w:rsidR="0027686F" w:rsidRDefault="005A3922">
      <w:pPr>
        <w:pStyle w:val="RedaliaNormal"/>
      </w:pPr>
      <w:r>
        <w:t>A l’issu de ce premier tour de négociation</w:t>
      </w:r>
      <w:r w:rsidR="0027686F">
        <w:t xml:space="preserve">, une nouvelle offre sera remise par les soumissionnaires. Un nouveau classement sera opéré. </w:t>
      </w:r>
    </w:p>
    <w:p w14:paraId="71D3CE9D" w14:textId="77777777" w:rsidR="0027686F" w:rsidRDefault="0027686F">
      <w:pPr>
        <w:pStyle w:val="RedaliaNormal"/>
      </w:pPr>
    </w:p>
    <w:p w14:paraId="5804DCB3" w14:textId="48DBC2B0" w:rsidR="005A3922" w:rsidRDefault="0027686F">
      <w:pPr>
        <w:pStyle w:val="RedaliaNormal"/>
      </w:pPr>
      <w:r>
        <w:t>Seules</w:t>
      </w:r>
      <w:r w:rsidR="005A3922">
        <w:t xml:space="preserve"> les meilleur</w:t>
      </w:r>
      <w:r w:rsidR="00CA768F">
        <w:t>e</w:t>
      </w:r>
      <w:r w:rsidR="005A3922">
        <w:t>s offres de chaque lot se verront admis</w:t>
      </w:r>
      <w:r>
        <w:t>es</w:t>
      </w:r>
      <w:r w:rsidR="005A3922">
        <w:t xml:space="preserve"> au second cycle de négociation</w:t>
      </w:r>
      <w:r>
        <w:t>, pour une remise d’offre finale</w:t>
      </w:r>
      <w:r w:rsidR="001A62A7">
        <w:t> ; pour le lot 1 les 6 premiers et pour le lot 2 les 4 premiers.</w:t>
      </w:r>
    </w:p>
    <w:p w14:paraId="4D93A71A" w14:textId="77777777" w:rsidR="002B474A" w:rsidRDefault="002B474A">
      <w:pPr>
        <w:pStyle w:val="RedaliaNormal"/>
      </w:pPr>
    </w:p>
    <w:p w14:paraId="031A2E77" w14:textId="7D6FC44D" w:rsidR="002B474A" w:rsidRDefault="002B474A" w:rsidP="002B474A">
      <w:pPr>
        <w:pStyle w:val="RedaliaNormal"/>
      </w:pPr>
      <w:r>
        <w:t xml:space="preserve">Dans le cadre de ces négociations, les candidats </w:t>
      </w:r>
      <w:r w:rsidR="0027686F">
        <w:t xml:space="preserve">seront invités </w:t>
      </w:r>
      <w:r>
        <w:t xml:space="preserve">dans </w:t>
      </w:r>
      <w:r w:rsidR="0027686F">
        <w:t>de</w:t>
      </w:r>
      <w:r>
        <w:t xml:space="preserve"> strictes conditions d’égalité, à préciser, compléter ou modifier leur offre sans pour autant qu’il soit apporté de modifications substantielles au cahier des charges.</w:t>
      </w:r>
    </w:p>
    <w:p w14:paraId="1E754634" w14:textId="77777777" w:rsidR="002B474A" w:rsidRDefault="002B474A">
      <w:pPr>
        <w:pStyle w:val="RedaliaNormal"/>
      </w:pPr>
    </w:p>
    <w:p w14:paraId="1412EA80" w14:textId="0F6BF2A7" w:rsidR="006F6BCF" w:rsidRDefault="002B474A">
      <w:pPr>
        <w:pStyle w:val="RedaliaNormal"/>
      </w:pPr>
      <w:r>
        <w:t xml:space="preserve">Le second tour de négociation sera clôturé par une demande de remise d’offre finale. Le Pouvoir adjudicateur opérera un classement des offres finales sur la base des critères de notation définis </w:t>
      </w:r>
      <w:r w:rsidR="0027686F">
        <w:lastRenderedPageBreak/>
        <w:t>plus haut.</w:t>
      </w:r>
    </w:p>
    <w:p w14:paraId="34BADE0F" w14:textId="77777777" w:rsidR="005026A5" w:rsidRDefault="005026A5">
      <w:pPr>
        <w:pStyle w:val="RedaliaNormal"/>
      </w:pPr>
    </w:p>
    <w:p w14:paraId="7FE5A9B5" w14:textId="77777777" w:rsidR="006F6BCF" w:rsidRDefault="00766059">
      <w:pPr>
        <w:pStyle w:val="RedaliaNormal"/>
      </w:pPr>
      <w:r>
        <w:t>L'AFD se réserve également le droit d’attribuer le marché sur la base de l’offre initiale, sans négociation.</w:t>
      </w:r>
    </w:p>
    <w:p w14:paraId="28AC70CD" w14:textId="77777777" w:rsidR="005026A5" w:rsidRDefault="005026A5">
      <w:pPr>
        <w:pStyle w:val="RedaliaNormal"/>
      </w:pPr>
    </w:p>
    <w:p w14:paraId="7A703F9C" w14:textId="77777777" w:rsidR="006F6BCF" w:rsidRDefault="00766059">
      <w:pPr>
        <w:pStyle w:val="RedaliaNormal"/>
      </w:pPr>
      <w:r w:rsidRPr="00340232">
        <w:t>Sera déclarée comme irrégulière, une offre, qui, tout en apportant une réponse au besoin du pouvoir adjudicateur, est incomplète ou ne respecte pas les exigences formulées au sein des documents de la consultation. Ceci sera, notamment, le cas s’il est constaté que le bordereau de prix n’est pas fourni ou s’il est incomplet.</w:t>
      </w:r>
    </w:p>
    <w:p w14:paraId="3F454D64" w14:textId="77777777" w:rsidR="006F6BCF" w:rsidRDefault="00766059">
      <w:pPr>
        <w:pStyle w:val="RedaliaTitre2"/>
      </w:pPr>
      <w:bookmarkStart w:id="41" w:name="_Toc170898458"/>
      <w:bookmarkStart w:id="42" w:name="_Toc204789939"/>
      <w:r>
        <w:t xml:space="preserve">Attribution </w:t>
      </w:r>
      <w:bookmarkEnd w:id="41"/>
      <w:r>
        <w:t>de l’accord-cadre</w:t>
      </w:r>
      <w:bookmarkEnd w:id="42"/>
      <w:r>
        <w:t> </w:t>
      </w:r>
    </w:p>
    <w:p w14:paraId="60B6C9C5" w14:textId="77777777" w:rsidR="006F6BCF" w:rsidRDefault="00766059">
      <w:pPr>
        <w:pStyle w:val="RedaliaNormal"/>
      </w:pPr>
      <w:r>
        <w:t xml:space="preserve">Préalablement à la signature du contrat par le Pouvoir Adjudicateur, et conformément à l’article R2144-7 du Code de la commande publique, l’attributaire (ou l’ensemble des membres du groupement attributaire, y compris les éventuels sous-traitants) devra transmettre sur l’outil de recueil des attestations fournisseurs dont s’est doté le Pouvoir Adjudicateur (outil </w:t>
      </w:r>
      <w:proofErr w:type="spellStart"/>
      <w:r>
        <w:t>Provigis</w:t>
      </w:r>
      <w:proofErr w:type="spellEnd"/>
      <w:r>
        <w:t>) les documents ci-dessous demandés :</w:t>
      </w:r>
    </w:p>
    <w:p w14:paraId="5F677F9A" w14:textId="77777777" w:rsidR="002F7BDD" w:rsidRDefault="002F7BDD">
      <w:pPr>
        <w:pStyle w:val="RedaliaNormal"/>
      </w:pPr>
    </w:p>
    <w:p w14:paraId="20972C83" w14:textId="77777777" w:rsidR="006F6BCF" w:rsidRDefault="002F7BDD">
      <w:pPr>
        <w:pStyle w:val="RedaliaNormal"/>
      </w:pPr>
      <w:r>
        <w:t>•</w:t>
      </w:r>
      <w:r w:rsidR="00766059">
        <w:t>Un document en cours de validité attestant de l’immatriculation effective de la structure (extrait K-bis ou équivalent) ;</w:t>
      </w:r>
    </w:p>
    <w:p w14:paraId="629350D7" w14:textId="77777777" w:rsidR="006F6BCF" w:rsidRDefault="00766059">
      <w:pPr>
        <w:pStyle w:val="RedaliaNormal"/>
      </w:pPr>
      <w:r>
        <w:t>• Une attestation en cours de validité délivrée par les autorités compétentes certifiant que le candidat est à jour de ses obligations sociales (URSSAF, RSI, AGESSA, MDA...) ;</w:t>
      </w:r>
    </w:p>
    <w:p w14:paraId="48912B3C" w14:textId="77777777" w:rsidR="006F6BCF" w:rsidRDefault="00766059">
      <w:pPr>
        <w:pStyle w:val="RedaliaNormal"/>
      </w:pPr>
      <w:r>
        <w:t>• La liste nominative des travailleurs étrangers hors CE ou détachés, employés par la structure ou à défaut une attestation sur l’honneur de non emploi de travailleurs étrangers hors CE (daté de moins de 6 mois) ;</w:t>
      </w:r>
    </w:p>
    <w:p w14:paraId="0434828E" w14:textId="77777777" w:rsidR="006F6BCF" w:rsidRDefault="00766059">
      <w:pPr>
        <w:pStyle w:val="RedaliaNormal"/>
      </w:pPr>
      <w:r>
        <w:t>• Une attestation fiscale en cours de validité délivrée par les autorités compétentes certifiant que le candidat est à jour de ses obligations fiscales ;</w:t>
      </w:r>
    </w:p>
    <w:p w14:paraId="6D812852" w14:textId="77777777" w:rsidR="006F6BCF" w:rsidRDefault="00766059">
      <w:pPr>
        <w:pStyle w:val="RedaliaNormal"/>
      </w:pPr>
      <w:r>
        <w:t>• Une attestation d’assurances de responsabilité civile et / ou professionnelle en cours de validité.</w:t>
      </w:r>
    </w:p>
    <w:p w14:paraId="0EF4CE79" w14:textId="77777777" w:rsidR="006F6BCF" w:rsidRDefault="006F6BCF">
      <w:pPr>
        <w:pStyle w:val="RedaliaNormal"/>
      </w:pPr>
    </w:p>
    <w:p w14:paraId="60A1B506" w14:textId="77777777" w:rsidR="006F6BCF" w:rsidRDefault="00766059">
      <w:pPr>
        <w:pStyle w:val="RedaliaNormal"/>
      </w:pPr>
      <w:r>
        <w:t>Afin de satisfaire à cette dernière obligation, le candidat établi dans un autre Etat que la France doit produire un certificat établi par les administrations et organismes du pays d’origine. Lorsqu’un tel certificat n’est pas délivré par le pays concerné, il peut être remplacé par une déclaration sous serment, ou dans les Etats où un tel serment n’existe pas, par une déclaration solennelle faite par l’intéressé devant l’autorité judiciaire ou administrative compétente, un notaire ou un organisme professionnel qualifié du pays.</w:t>
      </w:r>
    </w:p>
    <w:p w14:paraId="36AA8271" w14:textId="77777777" w:rsidR="006F6BCF" w:rsidRDefault="006F6BCF">
      <w:pPr>
        <w:pStyle w:val="RedaliaNormal"/>
      </w:pPr>
    </w:p>
    <w:p w14:paraId="465B0C08" w14:textId="77777777" w:rsidR="006F6BCF" w:rsidRDefault="00766059">
      <w:pPr>
        <w:pStyle w:val="RedaliaNormal"/>
      </w:pPr>
      <w:r>
        <w:t>A défaut de produire ces documents dans le délai fixé, l’offre du candidat attributaire sera rejetée et il sera éliminé.</w:t>
      </w:r>
    </w:p>
    <w:p w14:paraId="2DE966B9" w14:textId="77777777" w:rsidR="006F6BCF" w:rsidRDefault="00766059">
      <w:pPr>
        <w:pStyle w:val="RedaliaNormal"/>
      </w:pPr>
      <w:r>
        <w:t>Le candidat suivant sera alors sollicité pour produire les certificats et attestations nécessaires avant que l’accord-cadre ne lui soit attribué.</w:t>
      </w:r>
    </w:p>
    <w:p w14:paraId="6E169C8C" w14:textId="77777777" w:rsidR="006F6BCF" w:rsidRDefault="00766059">
      <w:pPr>
        <w:pStyle w:val="RedaliaTitre1"/>
      </w:pPr>
      <w:bookmarkStart w:id="43" w:name="_Toc79070502"/>
      <w:bookmarkStart w:id="44" w:name="_Toc204789940"/>
      <w:r>
        <w:t>Conditions d’envoi et de remise des candidatures et des offres</w:t>
      </w:r>
      <w:bookmarkEnd w:id="43"/>
      <w:bookmarkEnd w:id="44"/>
    </w:p>
    <w:p w14:paraId="7480A2CA" w14:textId="77777777" w:rsidR="006F6BCF" w:rsidRDefault="00766059">
      <w:pPr>
        <w:pStyle w:val="RedaliaNormal"/>
      </w:pPr>
      <w:r>
        <w:t>La transmission des documents par voie électronique ne peut être réalisée qu’à l’adresse suivante : https://www.marches-publics.gouv.fr/.</w:t>
      </w:r>
    </w:p>
    <w:p w14:paraId="05F20A02" w14:textId="77777777" w:rsidR="006F6BCF" w:rsidRDefault="00766059">
      <w:pPr>
        <w:pStyle w:val="RedaliaNormal"/>
      </w:pPr>
      <w:r>
        <w:t>Le fuseau horaire de référence sera celui de (GMT+</w:t>
      </w:r>
      <w:proofErr w:type="gramStart"/>
      <w:r>
        <w:t>01:</w:t>
      </w:r>
      <w:proofErr w:type="gramEnd"/>
      <w:r>
        <w:t>00) Paris, Bruxelles, Copenhague, Madrid.</w:t>
      </w:r>
    </w:p>
    <w:p w14:paraId="3176B47C" w14:textId="77777777" w:rsidR="006F6BCF" w:rsidRDefault="00766059">
      <w:pPr>
        <w:pStyle w:val="RedaliaNormal"/>
      </w:pPr>
      <w:r>
        <w:t>Chaque transmission fera l’objet d’une date certaine de réception et d’un accusé de réception électronique.</w:t>
      </w:r>
    </w:p>
    <w:p w14:paraId="31F6D702" w14:textId="77777777" w:rsidR="006F6BCF" w:rsidRDefault="00766059">
      <w:pPr>
        <w:pStyle w:val="RedaliaNormal"/>
      </w:pPr>
      <w:r>
        <w:lastRenderedPageBreak/>
        <w:t xml:space="preserve">Il est fortement recommandé d’initier le dépôt d’offre </w:t>
      </w:r>
      <w:r>
        <w:rPr>
          <w:b/>
        </w:rPr>
        <w:t>au moins 2 heures avant la DLRO.</w:t>
      </w:r>
    </w:p>
    <w:p w14:paraId="65A33906" w14:textId="77777777" w:rsidR="006F6BCF" w:rsidRDefault="00766059">
      <w:pPr>
        <w:pStyle w:val="RedaliaNormal"/>
      </w:pPr>
      <w:r>
        <w:t>En cas de difficultés, veuillez contacter le support de la plateforme PLACE (</w:t>
      </w:r>
      <w:hyperlink r:id="rId13" w:history="1">
        <w:r>
          <w:rPr>
            <w:rStyle w:val="Lienhypertexte"/>
          </w:rPr>
          <w:t>https://www.marches-publics.gouv.fr/</w:t>
        </w:r>
      </w:hyperlink>
      <w:r>
        <w:t>)</w:t>
      </w:r>
    </w:p>
    <w:p w14:paraId="41CF7817" w14:textId="77777777" w:rsidR="006F6BCF" w:rsidRDefault="00766059">
      <w:pPr>
        <w:pStyle w:val="RedaliaNormal"/>
        <w:pBdr>
          <w:top w:val="single" w:sz="4" w:space="1" w:color="000000"/>
          <w:left w:val="single" w:sz="4" w:space="4" w:color="000000"/>
          <w:bottom w:val="single" w:sz="4" w:space="1" w:color="000000"/>
          <w:right w:val="single" w:sz="4" w:space="4" w:color="000000"/>
        </w:pBdr>
      </w:pPr>
      <w:r>
        <w:rPr>
          <w:u w:val="single"/>
        </w:rPr>
        <w:t>Se préparer à l’avance</w:t>
      </w:r>
      <w:r>
        <w:t xml:space="preserve"> :</w:t>
      </w:r>
    </w:p>
    <w:p w14:paraId="4F3EED2F" w14:textId="77777777" w:rsidR="006F6BCF" w:rsidRDefault="006F6BCF">
      <w:pPr>
        <w:pStyle w:val="RedaliaNormal"/>
        <w:pBdr>
          <w:top w:val="single" w:sz="4" w:space="1" w:color="000000"/>
          <w:left w:val="single" w:sz="4" w:space="4" w:color="000000"/>
          <w:bottom w:val="single" w:sz="4" w:space="1" w:color="000000"/>
          <w:right w:val="single" w:sz="4" w:space="4" w:color="000000"/>
        </w:pBdr>
      </w:pPr>
    </w:p>
    <w:p w14:paraId="3C1E1451" w14:textId="77777777" w:rsidR="006F6BCF" w:rsidRDefault="00766059">
      <w:pPr>
        <w:pStyle w:val="RedaliaNormal"/>
        <w:pBdr>
          <w:top w:val="single" w:sz="4" w:space="1" w:color="000000"/>
          <w:left w:val="single" w:sz="4" w:space="4" w:color="000000"/>
          <w:bottom w:val="single" w:sz="4" w:space="1" w:color="000000"/>
          <w:right w:val="single" w:sz="4" w:space="4" w:color="000000"/>
        </w:pBdr>
      </w:pPr>
      <w:r>
        <w:t>Nécessité de certificat numérique - Configuration à l’avance du poste de travail - recommandation de se préparer avec la Consultation de test.</w:t>
      </w:r>
    </w:p>
    <w:p w14:paraId="68FE4502" w14:textId="77777777" w:rsidR="006F6BCF" w:rsidRDefault="006F6BCF">
      <w:pPr>
        <w:pStyle w:val="RedaliaNormal"/>
        <w:pBdr>
          <w:top w:val="single" w:sz="4" w:space="1" w:color="000000"/>
          <w:left w:val="single" w:sz="4" w:space="4" w:color="000000"/>
          <w:bottom w:val="single" w:sz="4" w:space="1" w:color="000000"/>
          <w:right w:val="single" w:sz="4" w:space="4" w:color="000000"/>
        </w:pBdr>
      </w:pPr>
    </w:p>
    <w:p w14:paraId="7DAA58E8" w14:textId="77777777" w:rsidR="006F6BCF" w:rsidRDefault="00766059">
      <w:pPr>
        <w:pStyle w:val="RedaliaNormal"/>
        <w:pBdr>
          <w:top w:val="single" w:sz="4" w:space="1" w:color="000000"/>
          <w:left w:val="single" w:sz="4" w:space="4" w:color="000000"/>
          <w:bottom w:val="single" w:sz="4" w:space="1" w:color="000000"/>
          <w:right w:val="single" w:sz="4" w:space="4" w:color="000000"/>
        </w:pBdr>
      </w:pPr>
      <w:r>
        <w:t>En cas de réponse électronique, la signature électronique de certaines pièces est requise.</w:t>
      </w:r>
    </w:p>
    <w:p w14:paraId="0B21ADCD" w14:textId="77777777" w:rsidR="006F6BCF" w:rsidRDefault="006F6BCF">
      <w:pPr>
        <w:pStyle w:val="RedaliaNormal"/>
        <w:pBdr>
          <w:top w:val="single" w:sz="4" w:space="1" w:color="000000"/>
          <w:left w:val="single" w:sz="4" w:space="4" w:color="000000"/>
          <w:bottom w:val="single" w:sz="4" w:space="1" w:color="000000"/>
          <w:right w:val="single" w:sz="4" w:space="4" w:color="000000"/>
        </w:pBdr>
      </w:pPr>
    </w:p>
    <w:p w14:paraId="26154C25" w14:textId="77777777" w:rsidR="006F6BCF" w:rsidRDefault="00766059">
      <w:pPr>
        <w:pStyle w:val="RedaliaNormal"/>
        <w:pBdr>
          <w:top w:val="single" w:sz="4" w:space="1" w:color="000000"/>
          <w:left w:val="single" w:sz="4" w:space="4" w:color="000000"/>
          <w:bottom w:val="single" w:sz="4" w:space="1" w:color="000000"/>
          <w:right w:val="single" w:sz="4" w:space="4" w:color="000000"/>
        </w:pBdr>
      </w:pPr>
      <w:r>
        <w:t>Le soumissionnaire doit avoir au préalable fait l’acquisition d’un certificat électronique. Obtenir un certificat électronique prend plusieurs jours, voire plusieurs semaines. Si le soumissionnaire ne possède pas de certificat électronique valable dans le cadre de la réponse à un accord-cadre dématérialisé, il est impératif qu’il en fasse la demande en avance.</w:t>
      </w:r>
    </w:p>
    <w:p w14:paraId="1A16E389" w14:textId="77777777" w:rsidR="006F6BCF" w:rsidRDefault="006F6BCF">
      <w:pPr>
        <w:pStyle w:val="RedaliaNormal"/>
        <w:pBdr>
          <w:top w:val="single" w:sz="4" w:space="1" w:color="000000"/>
          <w:left w:val="single" w:sz="4" w:space="4" w:color="000000"/>
          <w:bottom w:val="single" w:sz="4" w:space="1" w:color="000000"/>
          <w:right w:val="single" w:sz="4" w:space="4" w:color="000000"/>
        </w:pBdr>
      </w:pPr>
    </w:p>
    <w:p w14:paraId="7B23CC2B" w14:textId="77777777" w:rsidR="006F6BCF" w:rsidRDefault="00766059">
      <w:pPr>
        <w:pStyle w:val="RedaliaNormal"/>
        <w:pBdr>
          <w:top w:val="single" w:sz="4" w:space="1" w:color="000000"/>
          <w:left w:val="single" w:sz="4" w:space="4" w:color="000000"/>
          <w:bottom w:val="single" w:sz="4" w:space="1" w:color="000000"/>
          <w:right w:val="single" w:sz="4" w:space="4" w:color="000000"/>
        </w:pBdr>
      </w:pPr>
      <w:r>
        <w:t>Il est également fortement recommandé au soumissionnaire de prendre ses dispositions de manière à ce que sa réponse électronique soit déposée dans les délais impartis. Un test de configuration du poste de travail ainsi que des consultations de test sont mis à sa disposition sur la plateforme.</w:t>
      </w:r>
    </w:p>
    <w:p w14:paraId="275C7FD0" w14:textId="77777777" w:rsidR="006F6BCF" w:rsidRDefault="006F6BCF">
      <w:pPr>
        <w:pStyle w:val="RedaliaNormal"/>
      </w:pPr>
    </w:p>
    <w:p w14:paraId="22A02183" w14:textId="77777777" w:rsidR="006F6BCF" w:rsidRDefault="00766059">
      <w:pPr>
        <w:pStyle w:val="RedaliaNormal"/>
      </w:pPr>
      <w:r>
        <w:rPr>
          <w:u w:val="single"/>
        </w:rPr>
        <w:t>Formats de fichiers acceptés</w:t>
      </w:r>
      <w:r>
        <w:t xml:space="preserve"> :</w:t>
      </w:r>
    </w:p>
    <w:p w14:paraId="743254FC" w14:textId="77777777" w:rsidR="006F6BCF" w:rsidRDefault="006F6BCF">
      <w:pPr>
        <w:pStyle w:val="RedaliaNormal"/>
      </w:pPr>
    </w:p>
    <w:p w14:paraId="49F342CE" w14:textId="77777777" w:rsidR="006F6BCF" w:rsidRDefault="00766059">
      <w:pPr>
        <w:pStyle w:val="RedaliaNormal"/>
      </w:pPr>
      <w:r>
        <w:t>En cas de transmission de réponse par voie électronique, les documents fournis doivent être dans l’un des formats suivants, sous peine d’irrecevabilité de l’offre :</w:t>
      </w:r>
    </w:p>
    <w:p w14:paraId="1456AB09" w14:textId="77777777" w:rsidR="006F6BCF" w:rsidRDefault="00766059">
      <w:pPr>
        <w:pStyle w:val="RdaliaRetraitniveau1"/>
        <w:numPr>
          <w:ilvl w:val="0"/>
          <w:numId w:val="20"/>
        </w:numPr>
      </w:pPr>
      <w:r>
        <w:t>Format bureautique propriétaire de Microsoft compatible version 2003 (.doc, .</w:t>
      </w:r>
      <w:proofErr w:type="spellStart"/>
      <w:r>
        <w:t>xls</w:t>
      </w:r>
      <w:proofErr w:type="spellEnd"/>
      <w:r>
        <w:t xml:space="preserve"> et .</w:t>
      </w:r>
      <w:proofErr w:type="spellStart"/>
      <w:r>
        <w:t>ppt</w:t>
      </w:r>
      <w:proofErr w:type="spellEnd"/>
      <w:r>
        <w:t>),</w:t>
      </w:r>
    </w:p>
    <w:p w14:paraId="5BEC35B6" w14:textId="77777777" w:rsidR="006F6BCF" w:rsidRDefault="00766059">
      <w:pPr>
        <w:pStyle w:val="RdaliaRetraitniveau1"/>
        <w:numPr>
          <w:ilvl w:val="0"/>
          <w:numId w:val="4"/>
        </w:numPr>
      </w:pPr>
      <w:r>
        <w:t>Format texte universel (.</w:t>
      </w:r>
      <w:proofErr w:type="spellStart"/>
      <w:r>
        <w:t>rtf</w:t>
      </w:r>
      <w:proofErr w:type="spellEnd"/>
      <w:r>
        <w:t>),</w:t>
      </w:r>
    </w:p>
    <w:p w14:paraId="0FD55EDD" w14:textId="77777777" w:rsidR="006F6BCF" w:rsidRDefault="00766059">
      <w:pPr>
        <w:pStyle w:val="RdaliaRetraitniveau1"/>
        <w:numPr>
          <w:ilvl w:val="0"/>
          <w:numId w:val="4"/>
        </w:numPr>
      </w:pPr>
      <w:r>
        <w:t>Format PDF (.</w:t>
      </w:r>
      <w:proofErr w:type="spellStart"/>
      <w:r>
        <w:t>pdf</w:t>
      </w:r>
      <w:proofErr w:type="spellEnd"/>
      <w:r>
        <w:t>),</w:t>
      </w:r>
    </w:p>
    <w:p w14:paraId="07A4EC4D" w14:textId="77777777" w:rsidR="006F6BCF" w:rsidRDefault="00766059">
      <w:pPr>
        <w:pStyle w:val="RdaliaRetraitniveau1"/>
        <w:numPr>
          <w:ilvl w:val="0"/>
          <w:numId w:val="4"/>
        </w:numPr>
      </w:pPr>
      <w:r>
        <w:t>Formats images (.gif, .jpg et .png),</w:t>
      </w:r>
    </w:p>
    <w:p w14:paraId="5D09F94C" w14:textId="77777777" w:rsidR="006F6BCF" w:rsidRDefault="00766059">
      <w:pPr>
        <w:pStyle w:val="RdaliaRetraitniveau1"/>
        <w:numPr>
          <w:ilvl w:val="0"/>
          <w:numId w:val="4"/>
        </w:numPr>
      </w:pPr>
      <w:r>
        <w:t>Format pour les plans (.</w:t>
      </w:r>
      <w:proofErr w:type="spellStart"/>
      <w:r>
        <w:t>dxf</w:t>
      </w:r>
      <w:proofErr w:type="spellEnd"/>
      <w:r>
        <w:t xml:space="preserve"> et .</w:t>
      </w:r>
      <w:proofErr w:type="spellStart"/>
      <w:r>
        <w:t>dwg</w:t>
      </w:r>
      <w:proofErr w:type="spellEnd"/>
      <w:r>
        <w:t>).</w:t>
      </w:r>
    </w:p>
    <w:p w14:paraId="62ADC2B5" w14:textId="77777777" w:rsidR="006F6BCF" w:rsidRDefault="006F6BCF">
      <w:pPr>
        <w:pStyle w:val="RedaliaNormal"/>
      </w:pPr>
    </w:p>
    <w:p w14:paraId="3F137B63" w14:textId="77777777" w:rsidR="006F6BCF" w:rsidRDefault="00766059">
      <w:pPr>
        <w:pStyle w:val="RedaliaNormal"/>
      </w:pPr>
      <w:r>
        <w:t>Tout document contenant un virus informatique fera l’objet d’un archivage de sécurité et sera réputé n’avoir jamais été reçu. Le candidat concerné en sera informé. Dans ces conditions, il est conseillé aux candidats de soumettre leurs documents à un anti-virus avant envoi.</w:t>
      </w:r>
    </w:p>
    <w:p w14:paraId="69715270" w14:textId="77777777" w:rsidR="006F6BCF" w:rsidRDefault="006F6BCF">
      <w:pPr>
        <w:pStyle w:val="RedaliaNormal"/>
      </w:pPr>
    </w:p>
    <w:p w14:paraId="3B748BD9" w14:textId="77777777" w:rsidR="006F6BCF" w:rsidRDefault="00766059">
      <w:pPr>
        <w:pStyle w:val="RedaliaNormal"/>
      </w:pPr>
      <w:r>
        <w:rPr>
          <w:u w:val="single"/>
        </w:rPr>
        <w:t>Signature électronique des fichiers de la réponse</w:t>
      </w:r>
      <w:r>
        <w:t xml:space="preserve"> :</w:t>
      </w:r>
    </w:p>
    <w:p w14:paraId="0125D2A9" w14:textId="77777777" w:rsidR="006F6BCF" w:rsidRDefault="006F6BCF">
      <w:pPr>
        <w:pStyle w:val="RedaliaNormal"/>
      </w:pPr>
    </w:p>
    <w:p w14:paraId="230F542B" w14:textId="77777777" w:rsidR="006F6BCF" w:rsidRDefault="00766059">
      <w:pPr>
        <w:pStyle w:val="RedaliaNormal"/>
      </w:pPr>
      <w:r>
        <w:t>Les documents du soumissionnaire doivent être signés électroniquement, selon les modalités détaillées ci-dessous.</w:t>
      </w:r>
    </w:p>
    <w:p w14:paraId="1E1CC6FF" w14:textId="77777777" w:rsidR="006F6BCF" w:rsidRDefault="006F6BCF">
      <w:pPr>
        <w:pStyle w:val="RedaliaNormal"/>
      </w:pPr>
    </w:p>
    <w:p w14:paraId="510AEDA7" w14:textId="77777777" w:rsidR="006F6BCF" w:rsidRDefault="00766059">
      <w:pPr>
        <w:pStyle w:val="RedaliaNormal"/>
      </w:pPr>
      <w:r>
        <w:t>Par application de l’arrêté du 22 mars 2019 relatif à la signature électronique des contrats de la commande publique, le candidat doit respecter les conditions relatives :</w:t>
      </w:r>
    </w:p>
    <w:p w14:paraId="2B4C0D07" w14:textId="77777777" w:rsidR="006F6BCF" w:rsidRDefault="00766059">
      <w:pPr>
        <w:pStyle w:val="RdaliaRetraitniveau1"/>
        <w:numPr>
          <w:ilvl w:val="0"/>
          <w:numId w:val="4"/>
        </w:numPr>
      </w:pPr>
      <w:proofErr w:type="gramStart"/>
      <w:r>
        <w:t>au</w:t>
      </w:r>
      <w:proofErr w:type="gramEnd"/>
      <w:r>
        <w:t xml:space="preserve"> certificat de signature du signataire,</w:t>
      </w:r>
    </w:p>
    <w:p w14:paraId="1F9C902D" w14:textId="77777777" w:rsidR="006F6BCF" w:rsidRDefault="00766059">
      <w:pPr>
        <w:pStyle w:val="RdaliaRetraitniveau1"/>
        <w:numPr>
          <w:ilvl w:val="0"/>
          <w:numId w:val="4"/>
        </w:numPr>
      </w:pPr>
      <w:proofErr w:type="gramStart"/>
      <w:r>
        <w:t>à</w:t>
      </w:r>
      <w:proofErr w:type="gramEnd"/>
      <w:r>
        <w:t xml:space="preserve"> l’outil de signature utilisé (logiciel, service en ligne, parapheur le cas échéant), devant produire des signatures électroniques conformes aux formats réglementaires. (</w:t>
      </w:r>
      <w:proofErr w:type="gramStart"/>
      <w:r>
        <w:t>cf.</w:t>
      </w:r>
      <w:proofErr w:type="gramEnd"/>
      <w:r>
        <w:t xml:space="preserve"> annexe)</w:t>
      </w:r>
    </w:p>
    <w:p w14:paraId="5453BE87" w14:textId="77777777" w:rsidR="006F6BCF" w:rsidRDefault="006F6BCF">
      <w:pPr>
        <w:pStyle w:val="RedaliaNormal"/>
      </w:pPr>
    </w:p>
    <w:p w14:paraId="2BC11304" w14:textId="77777777" w:rsidR="006F6BCF" w:rsidRDefault="00766059">
      <w:pPr>
        <w:pStyle w:val="RedaliaNormal"/>
      </w:pPr>
      <w:r>
        <w:rPr>
          <w:u w:val="single"/>
        </w:rPr>
        <w:t>Rappels généraux : Dossier ZIP et signature scannée</w:t>
      </w:r>
      <w:r>
        <w:t> :</w:t>
      </w:r>
    </w:p>
    <w:p w14:paraId="29034F5B" w14:textId="77777777" w:rsidR="006F6BCF" w:rsidRDefault="006F6BCF">
      <w:pPr>
        <w:pStyle w:val="RedaliaNormal"/>
      </w:pPr>
    </w:p>
    <w:p w14:paraId="7F0813CC" w14:textId="77777777" w:rsidR="006F6BCF" w:rsidRDefault="00766059">
      <w:pPr>
        <w:pStyle w:val="RedaliaNormal"/>
      </w:pPr>
      <w:r>
        <w:t xml:space="preserve">Les documents transmis par voie électronique seront </w:t>
      </w:r>
      <w:proofErr w:type="spellStart"/>
      <w:r>
        <w:t>re-matérialisés</w:t>
      </w:r>
      <w:proofErr w:type="spellEnd"/>
      <w:r>
        <w:t xml:space="preserve"> après l’ouverture des plis. Les </w:t>
      </w:r>
      <w:r>
        <w:lastRenderedPageBreak/>
        <w:t>candidats sont informés que l’attribution de l'accord-cadre pourra donner lieu à la signature manuscrite de l'accord-cadre papier.</w:t>
      </w:r>
    </w:p>
    <w:p w14:paraId="73EC6CB9" w14:textId="77777777" w:rsidR="006F6BCF" w:rsidRDefault="006F6BCF">
      <w:pPr>
        <w:pStyle w:val="RedaliaNormal"/>
      </w:pPr>
    </w:p>
    <w:p w14:paraId="5013D989" w14:textId="77777777" w:rsidR="006F6BCF" w:rsidRDefault="00766059">
      <w:pPr>
        <w:pStyle w:val="RdaliaRetraitniveau1"/>
        <w:numPr>
          <w:ilvl w:val="0"/>
          <w:numId w:val="4"/>
        </w:numPr>
      </w:pPr>
      <w:r>
        <w:t>Chaque fichier à signer doit être signé individuellement, de telle sorte que chaque signature puisse être vérifiée indépendamment des autres,</w:t>
      </w:r>
    </w:p>
    <w:p w14:paraId="248D3F01" w14:textId="77777777" w:rsidR="006F6BCF" w:rsidRDefault="00766059">
      <w:pPr>
        <w:pStyle w:val="RdaliaRetraitniveau1"/>
        <w:numPr>
          <w:ilvl w:val="0"/>
          <w:numId w:val="4"/>
        </w:numPr>
      </w:pPr>
      <w:r>
        <w:t>Un dossier zip signé n’est pas accepté comme équivalent à la signature de chaque document qui constitue le dossier zip,</w:t>
      </w:r>
    </w:p>
    <w:p w14:paraId="59B6C1DC" w14:textId="77777777" w:rsidR="006F6BCF" w:rsidRDefault="00766059">
      <w:pPr>
        <w:pStyle w:val="RdaliaRetraitniveau1"/>
        <w:numPr>
          <w:ilvl w:val="0"/>
          <w:numId w:val="4"/>
        </w:numPr>
      </w:pPr>
      <w:r>
        <w:t>Une signature manuscrite scannée n’a pas d’autre valeur que celle d’une copie et ne peut pas remplacer la signature électronique.</w:t>
      </w:r>
    </w:p>
    <w:p w14:paraId="5337ED1D" w14:textId="77777777" w:rsidR="006F6BCF" w:rsidRDefault="006F6BCF">
      <w:pPr>
        <w:pStyle w:val="RedaliaNormal"/>
      </w:pPr>
    </w:p>
    <w:p w14:paraId="2390435C" w14:textId="77777777" w:rsidR="006F6BCF" w:rsidRDefault="00766059">
      <w:pPr>
        <w:pStyle w:val="RedaliaNormal"/>
      </w:pPr>
      <w:r>
        <w:rPr>
          <w:u w:val="single"/>
        </w:rPr>
        <w:t>Copie de sauvegarde</w:t>
      </w:r>
      <w:r>
        <w:t xml:space="preserve"> :</w:t>
      </w:r>
    </w:p>
    <w:p w14:paraId="7074E162" w14:textId="77777777" w:rsidR="006F6BCF" w:rsidRDefault="006F6BCF">
      <w:pPr>
        <w:pStyle w:val="RedaliaNormal"/>
      </w:pPr>
    </w:p>
    <w:p w14:paraId="4EF758F3" w14:textId="77777777" w:rsidR="006F6BCF" w:rsidRDefault="00766059">
      <w:pPr>
        <w:pStyle w:val="RedaliaNormal"/>
      </w:pPr>
      <w:r>
        <w:t xml:space="preserve">Les candidats peuvent également transmettre, dans les délais impartis pour la remise des plis, une copie de sauvegarde sur support physique électronique (CD-Rom, </w:t>
      </w:r>
      <w:proofErr w:type="spellStart"/>
      <w:r>
        <w:t>DVD-Rom</w:t>
      </w:r>
      <w:proofErr w:type="spellEnd"/>
      <w:r>
        <w:t>, clé USB) ou sur support papier. Cette copie est transmise à l’adresse ci-dessous, sous pli scellé et comporte obligatoirement la mention : « copie de sauvegarde », l’identification de la procédure concernée et les coordonnées de l’entreprise :</w:t>
      </w:r>
    </w:p>
    <w:p w14:paraId="021C2EEF" w14:textId="77777777" w:rsidR="006F6BCF" w:rsidRDefault="006F6BCF">
      <w:pPr>
        <w:pStyle w:val="RedaliaNormal"/>
      </w:pPr>
    </w:p>
    <w:p w14:paraId="0E413356" w14:textId="77777777" w:rsidR="006F6BCF" w:rsidRDefault="00766059">
      <w:pPr>
        <w:pStyle w:val="RedaliaNormal"/>
        <w:jc w:val="center"/>
      </w:pPr>
      <w:r>
        <w:t>Département des Achats Groupe (DAG)</w:t>
      </w:r>
    </w:p>
    <w:p w14:paraId="765B19AC" w14:textId="77777777" w:rsidR="006F6BCF" w:rsidRPr="00766059" w:rsidRDefault="002F7BDD">
      <w:pPr>
        <w:pStyle w:val="RedaliaNormal"/>
        <w:jc w:val="center"/>
        <w:rPr>
          <w:lang w:val="en-US"/>
        </w:rPr>
      </w:pPr>
      <w:proofErr w:type="spellStart"/>
      <w:r>
        <w:rPr>
          <w:lang w:val="en-US"/>
        </w:rPr>
        <w:t>Procédure</w:t>
      </w:r>
      <w:proofErr w:type="spellEnd"/>
      <w:r>
        <w:rPr>
          <w:lang w:val="en-US"/>
        </w:rPr>
        <w:t xml:space="preserve"> n°</w:t>
      </w:r>
      <w:r w:rsidR="00766059" w:rsidRPr="00766059">
        <w:rPr>
          <w:lang w:val="en-US"/>
        </w:rPr>
        <w:t>: DXR-2025-0220</w:t>
      </w:r>
    </w:p>
    <w:p w14:paraId="1FF4CB81" w14:textId="77777777" w:rsidR="006F6BCF" w:rsidRPr="00766059" w:rsidRDefault="00766059">
      <w:pPr>
        <w:pStyle w:val="RedaliaNormal"/>
        <w:jc w:val="center"/>
        <w:rPr>
          <w:lang w:val="en-US"/>
        </w:rPr>
      </w:pPr>
      <w:r w:rsidRPr="00766059">
        <w:rPr>
          <w:lang w:val="en-US"/>
        </w:rPr>
        <w:t>5 Rue Roland Barthes</w:t>
      </w:r>
    </w:p>
    <w:p w14:paraId="0D2FDC9F" w14:textId="77777777" w:rsidR="006F6BCF" w:rsidRDefault="00766059">
      <w:pPr>
        <w:pStyle w:val="RedaliaNormal"/>
        <w:jc w:val="center"/>
      </w:pPr>
      <w:r>
        <w:t>75012 Paris</w:t>
      </w:r>
    </w:p>
    <w:p w14:paraId="002F818E" w14:textId="77777777" w:rsidR="006F6BCF" w:rsidRDefault="00766059">
      <w:pPr>
        <w:pStyle w:val="RedaliaNormal"/>
        <w:jc w:val="center"/>
      </w:pPr>
      <w:r>
        <w:t>FRANCE</w:t>
      </w:r>
    </w:p>
    <w:p w14:paraId="3989C422" w14:textId="77777777" w:rsidR="006F6BCF" w:rsidRDefault="006F6BCF">
      <w:pPr>
        <w:pStyle w:val="RedaliaNormal"/>
      </w:pPr>
    </w:p>
    <w:p w14:paraId="753611E2" w14:textId="77777777" w:rsidR="006F6BCF" w:rsidRDefault="00766059">
      <w:pPr>
        <w:pStyle w:val="RedaliaNormal"/>
      </w:pPr>
      <w:r>
        <w:t>Les documents de la copie de sauvegarde doivent être signés (pour les documents dont la signature est obligatoire). Si le support physique choisi est le support papier, la signature est manuscrite. Si le support physique choisi est électronique, la signature est électronique.</w:t>
      </w:r>
    </w:p>
    <w:p w14:paraId="365908E8" w14:textId="77777777" w:rsidR="006F6BCF" w:rsidRDefault="006F6BCF">
      <w:pPr>
        <w:pStyle w:val="RedaliaNormal"/>
      </w:pPr>
    </w:p>
    <w:p w14:paraId="10B78539" w14:textId="77777777" w:rsidR="006F6BCF" w:rsidRDefault="00766059">
      <w:pPr>
        <w:pStyle w:val="RedaliaNormal"/>
      </w:pPr>
      <w:r>
        <w:t>Cette copie de sauvegarde pourra être ouverte dans les cas décrits à l’article 2 II de l’arrêté du 22 mars 2019 fixant les modalités de mise à disposition des documents de la consultation et de la copie de sauvegarde.</w:t>
      </w:r>
    </w:p>
    <w:p w14:paraId="6B7EA67C" w14:textId="77777777" w:rsidR="006F6BCF" w:rsidRDefault="006F6BCF">
      <w:pPr>
        <w:pStyle w:val="RedaliaNormal"/>
      </w:pPr>
    </w:p>
    <w:p w14:paraId="74C5C786" w14:textId="77777777" w:rsidR="006F6BCF" w:rsidRDefault="00766059">
      <w:pPr>
        <w:pStyle w:val="RedaliaNormal"/>
      </w:pPr>
      <w:r>
        <w:t>Les plis contenant la copie de sauvegarde, non ouverts, seront détruits à l’issue de la procédure par le pouvoir adjudicateur.</w:t>
      </w:r>
    </w:p>
    <w:p w14:paraId="62844FD8" w14:textId="77777777" w:rsidR="006F6BCF" w:rsidRDefault="00766059">
      <w:pPr>
        <w:pStyle w:val="RedaliaTitre1"/>
      </w:pPr>
      <w:bookmarkStart w:id="45" w:name="_Toc79070503"/>
      <w:bookmarkStart w:id="46" w:name="_Toc204789941"/>
      <w:r>
        <w:t>Renseignements complémentaires</w:t>
      </w:r>
      <w:bookmarkEnd w:id="45"/>
      <w:bookmarkEnd w:id="5"/>
      <w:bookmarkEnd w:id="46"/>
    </w:p>
    <w:p w14:paraId="08F80E87" w14:textId="77777777" w:rsidR="006F6BCF" w:rsidRDefault="00766059">
      <w:pPr>
        <w:pStyle w:val="RedaliaNormal"/>
      </w:pPr>
      <w:r>
        <w:t>Pour obtenir tous les renseignements complémentaires relatifs à cette consultation, les candidats devront faire parvenir en temps utile leur demande :</w:t>
      </w:r>
    </w:p>
    <w:p w14:paraId="2F520A97" w14:textId="77777777" w:rsidR="006F6BCF" w:rsidRDefault="00766059">
      <w:pPr>
        <w:pStyle w:val="RdaliaRetraitniveau2"/>
        <w:numPr>
          <w:ilvl w:val="0"/>
          <w:numId w:val="21"/>
        </w:numPr>
      </w:pPr>
      <w:r>
        <w:t>De manière électronique, exclusivement sur la plateforme de dématérialisation, sur l’URL suivante : https://www.marches-publics.gouv.fr/</w:t>
      </w:r>
    </w:p>
    <w:p w14:paraId="796D0982" w14:textId="77777777" w:rsidR="006F6BCF" w:rsidRDefault="006F6BCF">
      <w:pPr>
        <w:pStyle w:val="RedaliaNormal"/>
      </w:pPr>
    </w:p>
    <w:p w14:paraId="6712CB71" w14:textId="77777777" w:rsidR="006F6BCF" w:rsidRDefault="00766059">
      <w:pPr>
        <w:pStyle w:val="RedaliaNormal"/>
      </w:pPr>
      <w:r>
        <w:t>Seules les demandes adressées au moins 10 jours avant la date limite de réception des offres feront l’objet d’une réponse de la part du pouvoir adjudicateur.</w:t>
      </w:r>
    </w:p>
    <w:p w14:paraId="57139AC5" w14:textId="77777777" w:rsidR="006F6BCF" w:rsidRDefault="00766059">
      <w:pPr>
        <w:pStyle w:val="RedaliaNormal"/>
      </w:pPr>
      <w:r>
        <w:t>Une réponse sera adressée au plus tard 6 jours avant la date fixée pour la réception des offres aux candidats ayant téléchargé le dossier de consultation sur la plateforme de dématérialisation après s'être préalablement identifiés</w:t>
      </w:r>
    </w:p>
    <w:p w14:paraId="3BC3F627" w14:textId="100B3272" w:rsidR="006F6BCF" w:rsidRDefault="00766059">
      <w:pPr>
        <w:pStyle w:val="RedaliaNormal"/>
      </w:pPr>
      <w:r>
        <w:t xml:space="preserve">Concernant les informations relatives à la remise des offres dématérialisées, il convient de se </w:t>
      </w:r>
      <w:r>
        <w:lastRenderedPageBreak/>
        <w:t xml:space="preserve">reporter à l’article </w:t>
      </w:r>
      <w:r>
        <w:rPr>
          <w:i/>
          <w:iCs/>
        </w:rPr>
        <w:t>Conditions d’envoi et de remise des candidatures et/ou des offres</w:t>
      </w:r>
      <w:r>
        <w:t xml:space="preserve"> du présent document.</w:t>
      </w:r>
    </w:p>
    <w:p w14:paraId="67C6FCD3" w14:textId="77777777" w:rsidR="006F6BCF" w:rsidRDefault="00766059" w:rsidP="007569B3">
      <w:pPr>
        <w:pStyle w:val="RedaliaTitre1"/>
      </w:pPr>
      <w:bookmarkStart w:id="47" w:name="_Toc170898465"/>
      <w:bookmarkStart w:id="48" w:name="_Toc204789942"/>
      <w:r>
        <w:t>A</w:t>
      </w:r>
      <w:r w:rsidR="007569B3">
        <w:t>nnexe : Déclaration sur l'honneur</w:t>
      </w:r>
      <w:bookmarkEnd w:id="47"/>
      <w:bookmarkEnd w:id="48"/>
    </w:p>
    <w:p w14:paraId="57DE0F81" w14:textId="77777777" w:rsidR="006F6BCF" w:rsidRDefault="006F6BCF">
      <w:pPr>
        <w:pStyle w:val="RedaliaNormal"/>
      </w:pPr>
    </w:p>
    <w:p w14:paraId="7D05B46E" w14:textId="77777777" w:rsidR="006F6BCF" w:rsidRDefault="006F6BCF">
      <w:pPr>
        <w:pStyle w:val="RedaliaNormal"/>
      </w:pPr>
    </w:p>
    <w:p w14:paraId="5EE7E7BB" w14:textId="77777777" w:rsidR="006F6BCF" w:rsidRDefault="00766059">
      <w:pPr>
        <w:pStyle w:val="RedaliaNormal"/>
      </w:pPr>
      <w:r>
        <w:t>Je soussigné(e)</w:t>
      </w:r>
      <w:r>
        <w:tab/>
      </w:r>
    </w:p>
    <w:p w14:paraId="01B1CFDF" w14:textId="77777777" w:rsidR="006F6BCF" w:rsidRDefault="00766059">
      <w:pPr>
        <w:pStyle w:val="RedaliaNormal"/>
      </w:pPr>
      <w:r>
        <w:t>Agissant en qualité de</w:t>
      </w:r>
      <w:r>
        <w:tab/>
      </w:r>
    </w:p>
    <w:p w14:paraId="1D8056CF" w14:textId="77777777" w:rsidR="006F6BCF" w:rsidRDefault="00766059">
      <w:pPr>
        <w:pStyle w:val="RedaliaNormal"/>
      </w:pPr>
      <w:r>
        <w:t>Nom et adresse de l’entreprise :</w:t>
      </w:r>
      <w:r>
        <w:tab/>
      </w:r>
    </w:p>
    <w:p w14:paraId="5F8F10E7" w14:textId="77777777" w:rsidR="006F6BCF" w:rsidRDefault="00766059">
      <w:pPr>
        <w:pStyle w:val="RedaliaNormal"/>
      </w:pPr>
      <w:r>
        <w:tab/>
      </w:r>
    </w:p>
    <w:p w14:paraId="0E884643" w14:textId="77777777" w:rsidR="006F6BCF" w:rsidRDefault="00766059">
      <w:pPr>
        <w:pStyle w:val="RedaliaNormal"/>
      </w:pPr>
      <w:r>
        <w:tab/>
      </w:r>
    </w:p>
    <w:p w14:paraId="1CFC31BD" w14:textId="77777777" w:rsidR="006F6BCF" w:rsidRDefault="00766059">
      <w:pPr>
        <w:pStyle w:val="RedaliaNormal"/>
        <w:rPr>
          <w:b/>
          <w:bCs/>
        </w:rPr>
      </w:pPr>
      <w:r>
        <w:rPr>
          <w:b/>
          <w:bCs/>
        </w:rPr>
        <w:t>a) déclare sur l’honneur :</w:t>
      </w:r>
    </w:p>
    <w:p w14:paraId="120CD862" w14:textId="77777777" w:rsidR="006F6BCF" w:rsidRDefault="00766059">
      <w:pPr>
        <w:pStyle w:val="RedaliaNormal"/>
      </w:pPr>
      <w:r>
        <w:t>☐ soit être le représentant légal de l’entreprise identifié dans les documents légaux</w:t>
      </w:r>
    </w:p>
    <w:p w14:paraId="11D5EE56" w14:textId="77777777" w:rsidR="006F6BCF" w:rsidRDefault="00766059">
      <w:pPr>
        <w:pStyle w:val="RedaliaNormal"/>
      </w:pPr>
      <w:r>
        <w:t>☐ soit détenir une habilitation l’autorisant à engager l’entreprise dans le cadre de la présente   consultation (délégation de signature communiquée)</w:t>
      </w:r>
    </w:p>
    <w:p w14:paraId="57251EB3" w14:textId="77777777" w:rsidR="006F6BCF" w:rsidRDefault="006F6BCF">
      <w:pPr>
        <w:pStyle w:val="RedaliaNormal"/>
        <w:rPr>
          <w:b/>
          <w:bCs/>
        </w:rPr>
      </w:pPr>
    </w:p>
    <w:p w14:paraId="4617A17A" w14:textId="77777777" w:rsidR="006F6BCF" w:rsidRDefault="00766059">
      <w:pPr>
        <w:pStyle w:val="RedaliaNormal"/>
        <w:rPr>
          <w:b/>
          <w:bCs/>
        </w:rPr>
      </w:pPr>
      <w:r>
        <w:rPr>
          <w:b/>
          <w:bCs/>
        </w:rPr>
        <w:t>b) déclare sur l’honneur ne pas entrer dans l’un des cas d’exclusion prévus aux articles L. 2141-1 à L. 2141-5 ou aux articles L. 2141-7 à L. 2141-10 du Code de la commande publique.</w:t>
      </w:r>
    </w:p>
    <w:p w14:paraId="139AA71B" w14:textId="77777777" w:rsidR="006F6BCF" w:rsidRDefault="006F6BCF">
      <w:pPr>
        <w:pStyle w:val="RedaliaNormal"/>
      </w:pPr>
    </w:p>
    <w:p w14:paraId="2F096BDC" w14:textId="77777777" w:rsidR="006F6BCF" w:rsidRDefault="00766059">
      <w:pPr>
        <w:pStyle w:val="RdaliaLgende"/>
        <w:ind w:left="0" w:firstLine="0"/>
      </w:pPr>
      <w:r>
        <w:t>N.B. :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177BA17A" w14:textId="77777777" w:rsidR="006F6BCF" w:rsidRDefault="006F6BCF">
      <w:pPr>
        <w:pStyle w:val="RedaliaNormal"/>
      </w:pPr>
    </w:p>
    <w:p w14:paraId="7CEE94E4" w14:textId="77777777" w:rsidR="006F6BCF" w:rsidRDefault="00766059">
      <w:pPr>
        <w:pStyle w:val="RedaliaNormal"/>
        <w:tabs>
          <w:tab w:val="clear" w:pos="8505"/>
          <w:tab w:val="left" w:leader="dot" w:pos="9638"/>
        </w:tabs>
      </w:pPr>
      <w:r>
        <w:rPr>
          <w:b/>
        </w:rPr>
        <w:t>Documents de preuve disponibles en ligne </w:t>
      </w:r>
      <w:r>
        <w:t>:</w:t>
      </w:r>
    </w:p>
    <w:p w14:paraId="67D2EB48" w14:textId="77777777" w:rsidR="006F6BCF" w:rsidRDefault="006F6BCF">
      <w:pPr>
        <w:pStyle w:val="RedaliaNormal"/>
      </w:pPr>
    </w:p>
    <w:p w14:paraId="21991E1F" w14:textId="77777777" w:rsidR="006F6BCF" w:rsidRDefault="00766059">
      <w:pPr>
        <w:pStyle w:val="RedaliaNormal"/>
      </w:pPr>
      <w:r>
        <w:t>Adresse internet à laquelle les documents justificatifs et moyens de preuve sont accessibles directement et gratuitement, ainsi que l’ensemble des renseignements nécessaires pour y accéder :</w:t>
      </w:r>
    </w:p>
    <w:p w14:paraId="0A25537F" w14:textId="77777777" w:rsidR="006F6BCF" w:rsidRDefault="00766059">
      <w:pPr>
        <w:pStyle w:val="RedaliaNormal"/>
      </w:pPr>
      <w:r>
        <w:t xml:space="preserve">- Adresse internet : </w:t>
      </w:r>
      <w:r>
        <w:tab/>
      </w:r>
    </w:p>
    <w:p w14:paraId="5500E682" w14:textId="77777777" w:rsidR="006F6BCF" w:rsidRDefault="00766059">
      <w:pPr>
        <w:pStyle w:val="RedaliaNormal"/>
      </w:pPr>
      <w:r>
        <w:t> </w:t>
      </w:r>
    </w:p>
    <w:p w14:paraId="1E97EBFC" w14:textId="77777777" w:rsidR="006F6BCF" w:rsidRDefault="00766059">
      <w:pPr>
        <w:pStyle w:val="RedaliaNormal"/>
      </w:pPr>
      <w:r>
        <w:t xml:space="preserve">- Renseignements nécessaires pour y accéder : </w:t>
      </w:r>
      <w:r>
        <w:tab/>
      </w:r>
    </w:p>
    <w:p w14:paraId="4544E575" w14:textId="77777777" w:rsidR="006F6BCF" w:rsidRDefault="00766059">
      <w:pPr>
        <w:pStyle w:val="RedaliaNormal"/>
      </w:pPr>
      <w:r>
        <w:tab/>
      </w:r>
    </w:p>
    <w:p w14:paraId="7F239B35" w14:textId="77777777" w:rsidR="006F6BCF" w:rsidRDefault="00766059">
      <w:pPr>
        <w:pStyle w:val="RedaliaNormal"/>
      </w:pPr>
      <w:r>
        <w:tab/>
      </w:r>
    </w:p>
    <w:p w14:paraId="14063B10" w14:textId="77777777" w:rsidR="006F6BCF" w:rsidRDefault="006F6BCF">
      <w:pPr>
        <w:pStyle w:val="RedaliaNormal"/>
      </w:pPr>
    </w:p>
    <w:p w14:paraId="4E14A390" w14:textId="77777777" w:rsidR="006F6BCF" w:rsidRDefault="00766059">
      <w:pPr>
        <w:pStyle w:val="RedaliaNormal"/>
        <w:rPr>
          <w:b/>
          <w:bCs/>
        </w:rPr>
      </w:pPr>
      <w:r>
        <w:rPr>
          <w:b/>
          <w:bCs/>
        </w:rPr>
        <w:t>c) déclare sur l’honneur que je ne suis pas, et qu'aucun des membres de mon groupement, ni de mes fournisseurs, entrepreneurs, consultants et sous-traitants ne figurent sur les listes de sanctions financières adoptées par les Nations Unies, l'Union Européenne et/ou la France, notamment au titre de la lutte contre le financement du terrorisme et contre les atteintes à la paix et à la sécurité internationales et m’engage à informer, sans délais l'Agence de tout changement de situation</w:t>
      </w:r>
    </w:p>
    <w:p w14:paraId="08D3A17C" w14:textId="77777777" w:rsidR="006F6BCF" w:rsidRDefault="006F6BCF">
      <w:pPr>
        <w:pStyle w:val="RedaliaNormal"/>
      </w:pPr>
    </w:p>
    <w:p w14:paraId="39E6C12D" w14:textId="77777777" w:rsidR="006F6BCF" w:rsidRDefault="00766059">
      <w:pPr>
        <w:pStyle w:val="RedaliaNormal"/>
        <w:tabs>
          <w:tab w:val="left" w:leader="dot" w:pos="4140"/>
        </w:tabs>
      </w:pPr>
      <w:r>
        <w:t>Fait à</w:t>
      </w:r>
      <w:r>
        <w:tab/>
      </w:r>
    </w:p>
    <w:p w14:paraId="648DBEDA" w14:textId="77777777" w:rsidR="006F6BCF" w:rsidRDefault="00766059">
      <w:pPr>
        <w:pStyle w:val="RedaliaNormal"/>
        <w:tabs>
          <w:tab w:val="left" w:leader="dot" w:pos="4140"/>
        </w:tabs>
      </w:pPr>
      <w:r>
        <w:t>Le</w:t>
      </w:r>
      <w:r>
        <w:tab/>
      </w:r>
    </w:p>
    <w:p w14:paraId="2CDF936E" w14:textId="77777777" w:rsidR="006F6BCF" w:rsidRDefault="00766059">
      <w:pPr>
        <w:pStyle w:val="RedaliaNormal"/>
      </w:pPr>
      <w:r>
        <w:t>Signature</w:t>
      </w:r>
      <w:r>
        <w:tab/>
      </w:r>
    </w:p>
    <w:p w14:paraId="18279B76" w14:textId="77777777" w:rsidR="006F6BCF" w:rsidRDefault="00766059">
      <w:pPr>
        <w:pStyle w:val="RedaliaNormal"/>
      </w:pPr>
      <w:r>
        <w:tab/>
      </w:r>
    </w:p>
    <w:p w14:paraId="4283AFB2" w14:textId="77777777" w:rsidR="006F6BCF" w:rsidRDefault="006F6BCF">
      <w:pPr>
        <w:pStyle w:val="RedaliaNormal"/>
      </w:pPr>
    </w:p>
    <w:p w14:paraId="57C3A95F" w14:textId="77777777" w:rsidR="002F7BDD" w:rsidRDefault="002F7BDD">
      <w:pPr>
        <w:widowControl/>
        <w:suppressAutoHyphens w:val="0"/>
      </w:pPr>
      <w:r>
        <w:br w:type="page"/>
      </w:r>
    </w:p>
    <w:p w14:paraId="508A0388" w14:textId="7EEB313A" w:rsidR="006F6BCF" w:rsidRPr="007B47C7" w:rsidRDefault="00766059">
      <w:pPr>
        <w:pStyle w:val="RedaliaTitre1"/>
      </w:pPr>
      <w:bookmarkStart w:id="49" w:name="_Toc204789943"/>
      <w:r w:rsidRPr="007B47C7">
        <w:lastRenderedPageBreak/>
        <w:t>Annexe : Cadre de réponse imposé</w:t>
      </w:r>
      <w:r w:rsidR="000E5A52" w:rsidRPr="007B47C7">
        <w:t xml:space="preserve"> pour la phase Offre</w:t>
      </w:r>
      <w:bookmarkEnd w:id="49"/>
    </w:p>
    <w:p w14:paraId="59B65671" w14:textId="45A73FEF" w:rsidR="006F6BCF" w:rsidRPr="00E42421" w:rsidRDefault="00215E76" w:rsidP="007B47C7">
      <w:pPr>
        <w:pStyle w:val="RedaliaNormal"/>
        <w:jc w:val="center"/>
        <w:rPr>
          <w:b/>
          <w:bCs/>
          <w:color w:val="7030A0"/>
          <w:sz w:val="28"/>
          <w:szCs w:val="28"/>
        </w:rPr>
      </w:pPr>
      <w:r w:rsidRPr="00E42421">
        <w:rPr>
          <w:b/>
          <w:bCs/>
          <w:color w:val="7030A0"/>
          <w:sz w:val="28"/>
          <w:szCs w:val="28"/>
          <w:highlight w:val="yellow"/>
        </w:rPr>
        <w:t>A FOURNIR P</w:t>
      </w:r>
      <w:r w:rsidR="00E42421">
        <w:rPr>
          <w:b/>
          <w:bCs/>
          <w:color w:val="7030A0"/>
          <w:sz w:val="28"/>
          <w:szCs w:val="28"/>
          <w:highlight w:val="yellow"/>
        </w:rPr>
        <w:t>OUR CHAQUE</w:t>
      </w:r>
      <w:r w:rsidRPr="00E42421">
        <w:rPr>
          <w:b/>
          <w:bCs/>
          <w:color w:val="7030A0"/>
          <w:sz w:val="28"/>
          <w:szCs w:val="28"/>
          <w:highlight w:val="yellow"/>
        </w:rPr>
        <w:t xml:space="preserve"> LOT</w:t>
      </w:r>
    </w:p>
    <w:p w14:paraId="12910044" w14:textId="77777777" w:rsidR="00215E76" w:rsidRDefault="00215E76">
      <w:pPr>
        <w:pStyle w:val="RedaliaNormal"/>
      </w:pPr>
    </w:p>
    <w:p w14:paraId="5A51CA69" w14:textId="3DE10D05" w:rsidR="000E5A52" w:rsidRDefault="000E5A52" w:rsidP="000E5A52">
      <w:pPr>
        <w:pStyle w:val="RedaliaNormal"/>
      </w:pPr>
      <w:r>
        <w:t xml:space="preserve">Les réponses du Prestataire ne devront pas dépasser </w:t>
      </w:r>
      <w:r w:rsidR="0098454D">
        <w:rPr>
          <w:color w:val="FF0000"/>
        </w:rPr>
        <w:t>20</w:t>
      </w:r>
      <w:r>
        <w:t xml:space="preserve"> pages </w:t>
      </w:r>
      <w:r>
        <w:rPr>
          <w:color w:val="FF0000"/>
        </w:rPr>
        <w:t>MAXIMUM</w:t>
      </w:r>
      <w:r w:rsidR="00340232">
        <w:rPr>
          <w:color w:val="FF0000"/>
        </w:rPr>
        <w:t xml:space="preserve"> (sans page de garde)</w:t>
      </w:r>
    </w:p>
    <w:p w14:paraId="181BCD38" w14:textId="77777777" w:rsidR="006F6BCF" w:rsidRDefault="006F6BCF">
      <w:pPr>
        <w:pStyle w:val="RedaliaNormal"/>
      </w:pPr>
    </w:p>
    <w:p w14:paraId="7D9C9A2F" w14:textId="6E7F49DE" w:rsidR="006F6BCF" w:rsidRDefault="00766059">
      <w:pPr>
        <w:pStyle w:val="RedaliaNormal"/>
      </w:pPr>
      <w:r>
        <w:t xml:space="preserve">Ces réponses devront impérativement respecter le canevas suivant : </w:t>
      </w:r>
    </w:p>
    <w:p w14:paraId="0BBD002B" w14:textId="77777777" w:rsidR="006F6BCF" w:rsidRDefault="006F6BCF">
      <w:pPr>
        <w:pStyle w:val="RedaliaNormal"/>
      </w:pPr>
    </w:p>
    <w:p w14:paraId="6CBC28FE" w14:textId="77777777" w:rsidR="006F6BCF" w:rsidRDefault="00766059">
      <w:pPr>
        <w:pStyle w:val="RedaliaNormal"/>
        <w:shd w:val="clear" w:color="auto" w:fill="C5E0B3"/>
        <w:rPr>
          <w:b/>
          <w:bCs/>
          <w:sz w:val="24"/>
          <w:szCs w:val="24"/>
        </w:rPr>
      </w:pPr>
      <w:r>
        <w:rPr>
          <w:b/>
          <w:bCs/>
          <w:sz w:val="24"/>
          <w:szCs w:val="24"/>
        </w:rPr>
        <w:t>A - Résumé de votre offre</w:t>
      </w:r>
    </w:p>
    <w:p w14:paraId="097D7B08" w14:textId="77777777" w:rsidR="006F6BCF" w:rsidRDefault="006F6BCF">
      <w:pPr>
        <w:pStyle w:val="RedaliaNormal"/>
      </w:pPr>
    </w:p>
    <w:p w14:paraId="2DE5A4F8" w14:textId="77777777" w:rsidR="006F6BCF" w:rsidRDefault="00766059">
      <w:pPr>
        <w:pStyle w:val="RedaliaNormal"/>
      </w:pPr>
      <w:r>
        <w:rPr>
          <w:b/>
          <w:bCs/>
        </w:rPr>
        <w:t>A.1</w:t>
      </w:r>
      <w:r>
        <w:t xml:space="preserve"> - Compréhension des attentes de l'AFD</w:t>
      </w:r>
    </w:p>
    <w:p w14:paraId="5DF6875F" w14:textId="77777777" w:rsidR="006F6BCF" w:rsidRDefault="00766059">
      <w:pPr>
        <w:pStyle w:val="RedaliaNormal"/>
      </w:pPr>
      <w:r>
        <w:rPr>
          <w:b/>
          <w:bCs/>
        </w:rPr>
        <w:t>A.2</w:t>
      </w:r>
      <w:r>
        <w:t xml:space="preserve"> - Synthèse des étapes de votre intervention</w:t>
      </w:r>
    </w:p>
    <w:p w14:paraId="55B43A13" w14:textId="099EAE60" w:rsidR="006F6BCF" w:rsidRDefault="00766059">
      <w:pPr>
        <w:pStyle w:val="RedaliaNormal"/>
      </w:pPr>
      <w:r>
        <w:rPr>
          <w:b/>
          <w:bCs/>
        </w:rPr>
        <w:t>A.3</w:t>
      </w:r>
      <w:r>
        <w:t xml:space="preserve"> - Calendrier général d</w:t>
      </w:r>
      <w:r w:rsidR="0098454D">
        <w:t xml:space="preserve">’une </w:t>
      </w:r>
      <w:r>
        <w:t>mission</w:t>
      </w:r>
      <w:r w:rsidR="0098454D">
        <w:t xml:space="preserve"> type</w:t>
      </w:r>
    </w:p>
    <w:p w14:paraId="7E24E0B0" w14:textId="77777777" w:rsidR="006F6BCF" w:rsidRDefault="006F6BCF">
      <w:pPr>
        <w:pStyle w:val="RedaliaNormal"/>
      </w:pPr>
    </w:p>
    <w:p w14:paraId="504075BA" w14:textId="77777777" w:rsidR="000E5A52" w:rsidRDefault="000E5A52" w:rsidP="000E5A52">
      <w:pPr>
        <w:pStyle w:val="RedaliaNormal"/>
        <w:shd w:val="clear" w:color="auto" w:fill="C5E0B3"/>
      </w:pPr>
      <w:r>
        <w:rPr>
          <w:b/>
          <w:bCs/>
          <w:sz w:val="24"/>
          <w:szCs w:val="24"/>
        </w:rPr>
        <w:t xml:space="preserve">B - </w:t>
      </w:r>
      <w:r>
        <w:rPr>
          <w:b/>
          <w:u w:val="single"/>
        </w:rPr>
        <w:t>Méthodologie de suivi de la prestation</w:t>
      </w:r>
      <w:r>
        <w:t> </w:t>
      </w:r>
    </w:p>
    <w:p w14:paraId="53F13756" w14:textId="77777777" w:rsidR="000E5A52" w:rsidRDefault="000E5A52" w:rsidP="000E5A52">
      <w:pPr>
        <w:pStyle w:val="RedaliaNormal"/>
      </w:pPr>
    </w:p>
    <w:p w14:paraId="67E4C51E" w14:textId="77777777" w:rsidR="000E5A52" w:rsidRDefault="000E5A52" w:rsidP="000E5A52">
      <w:pPr>
        <w:widowControl/>
        <w:suppressAutoHyphens w:val="0"/>
        <w:textAlignment w:val="auto"/>
      </w:pPr>
      <w:r>
        <w:t xml:space="preserve">Un document de </w:t>
      </w:r>
      <w:r w:rsidRPr="00C45B61">
        <w:rPr>
          <w:color w:val="FF0000"/>
        </w:rPr>
        <w:t xml:space="preserve">2 pages </w:t>
      </w:r>
      <w:r>
        <w:t>maximum. Chaque prestataire explique la démarche avec laquelle il compte suivre la prestation opérée à l’AFD, de manière régulière et proactive.</w:t>
      </w:r>
    </w:p>
    <w:p w14:paraId="4E6AF8CC" w14:textId="77777777" w:rsidR="000E5A52" w:rsidRDefault="000E5A52" w:rsidP="000E5A52">
      <w:pPr>
        <w:widowControl/>
        <w:suppressAutoHyphens w:val="0"/>
        <w:jc w:val="both"/>
        <w:textAlignment w:val="auto"/>
      </w:pPr>
      <w:r>
        <w:t>Valeur et Services Ajoutés</w:t>
      </w:r>
    </w:p>
    <w:p w14:paraId="78D78F56" w14:textId="77777777" w:rsidR="000E5A52" w:rsidRDefault="000E5A52" w:rsidP="000E5A52">
      <w:pPr>
        <w:pStyle w:val="RedaliaNormal"/>
      </w:pPr>
    </w:p>
    <w:p w14:paraId="00A2BF4C" w14:textId="77777777" w:rsidR="000E5A52" w:rsidRDefault="000E5A52" w:rsidP="000E5A52">
      <w:pPr>
        <w:pStyle w:val="RedaliaNormal"/>
        <w:shd w:val="clear" w:color="auto" w:fill="C5E0B3"/>
        <w:rPr>
          <w:b/>
          <w:bCs/>
          <w:sz w:val="24"/>
          <w:szCs w:val="24"/>
        </w:rPr>
      </w:pPr>
      <w:r>
        <w:rPr>
          <w:b/>
          <w:bCs/>
          <w:sz w:val="24"/>
          <w:szCs w:val="24"/>
        </w:rPr>
        <w:t>C - Description détaillée de votre offre</w:t>
      </w:r>
    </w:p>
    <w:p w14:paraId="7E916D32" w14:textId="77777777" w:rsidR="000E5A52" w:rsidRDefault="000E5A52" w:rsidP="000E5A52">
      <w:pPr>
        <w:pStyle w:val="RedaliaNormal"/>
      </w:pPr>
    </w:p>
    <w:p w14:paraId="2C1705E9" w14:textId="62FC09FF" w:rsidR="000E5A52" w:rsidRDefault="000E5A52" w:rsidP="000E5A52">
      <w:pPr>
        <w:widowControl/>
        <w:suppressAutoHyphens w:val="0"/>
        <w:textAlignment w:val="auto"/>
      </w:pPr>
      <w:r>
        <w:t>Méthodologie (exemples de livrables, outils</w:t>
      </w:r>
      <w:r w:rsidR="00340232">
        <w:t>,</w:t>
      </w:r>
      <w:r>
        <w:t xml:space="preserve"> planning, indicateurs, méthodologie projet …) : un document explicatif de </w:t>
      </w:r>
      <w:r w:rsidRPr="00C45B61">
        <w:rPr>
          <w:color w:val="FF0000"/>
        </w:rPr>
        <w:t>5 pages maximum</w:t>
      </w:r>
    </w:p>
    <w:p w14:paraId="0A4A8C7F" w14:textId="77777777" w:rsidR="000E5A52" w:rsidRDefault="000E5A52" w:rsidP="000E5A52">
      <w:pPr>
        <w:pStyle w:val="RedaliaNormal"/>
      </w:pPr>
    </w:p>
    <w:p w14:paraId="68FC973C" w14:textId="77777777" w:rsidR="000E5A52" w:rsidRDefault="000E5A52" w:rsidP="000E5A52">
      <w:pPr>
        <w:pStyle w:val="RedaliaNormal"/>
        <w:shd w:val="clear" w:color="auto" w:fill="C5E0B3"/>
        <w:rPr>
          <w:b/>
          <w:bCs/>
          <w:sz w:val="24"/>
          <w:szCs w:val="24"/>
        </w:rPr>
      </w:pPr>
      <w:r>
        <w:rPr>
          <w:b/>
          <w:bCs/>
          <w:sz w:val="24"/>
          <w:szCs w:val="24"/>
        </w:rPr>
        <w:t>D - Présentation de l’équipe qui interviendra sur la présente mission</w:t>
      </w:r>
    </w:p>
    <w:p w14:paraId="3D42D45B" w14:textId="77777777" w:rsidR="000E5A52" w:rsidRDefault="000E5A52" w:rsidP="000E5A52">
      <w:pPr>
        <w:pStyle w:val="RedaliaNormal"/>
      </w:pPr>
    </w:p>
    <w:p w14:paraId="47D96EB1" w14:textId="69FA79ED" w:rsidR="000E5A52" w:rsidRDefault="000E5A52" w:rsidP="000E5A52">
      <w:pPr>
        <w:pStyle w:val="RedaliaNormal"/>
      </w:pPr>
      <w:r>
        <w:t xml:space="preserve">Moyens Humains : </w:t>
      </w:r>
      <w:r w:rsidR="00E42421">
        <w:t>en fonction des lots</w:t>
      </w:r>
    </w:p>
    <w:p w14:paraId="7B7848A6" w14:textId="77777777" w:rsidR="000E5A52" w:rsidRDefault="000E5A52" w:rsidP="000E5A52">
      <w:pPr>
        <w:pStyle w:val="RedaliaNormal"/>
      </w:pPr>
      <w:r>
        <w:t>Décrire la constitution de l’équipe et répartition des responsabilités entre ses membres</w:t>
      </w:r>
    </w:p>
    <w:p w14:paraId="50880C07" w14:textId="569C9C6A" w:rsidR="000E5A52" w:rsidRDefault="000E5A52" w:rsidP="000E5A52">
      <w:r>
        <w:t xml:space="preserve">Fournir des </w:t>
      </w:r>
      <w:proofErr w:type="spellStart"/>
      <w:r>
        <w:t>CVs</w:t>
      </w:r>
      <w:proofErr w:type="spellEnd"/>
      <w:r w:rsidR="00665036">
        <w:t xml:space="preserve"> </w:t>
      </w:r>
      <w:r w:rsidR="00665036" w:rsidRPr="00215E76">
        <w:rPr>
          <w:b/>
          <w:bCs/>
        </w:rPr>
        <w:t>et durée de chaque expérience</w:t>
      </w:r>
      <w:r>
        <w:t xml:space="preserve"> (en guise d’exemples d’intervenants) tels que suit :</w:t>
      </w:r>
    </w:p>
    <w:p w14:paraId="0E424EF9" w14:textId="77777777" w:rsidR="000E5A52" w:rsidRDefault="000E5A52" w:rsidP="000E5A52"/>
    <w:p w14:paraId="20DC658D" w14:textId="488A14DE" w:rsidR="000E5A52" w:rsidRDefault="000E5A52" w:rsidP="000E5A52">
      <w:pPr>
        <w:pStyle w:val="Paragraphedeliste"/>
        <w:widowControl/>
        <w:numPr>
          <w:ilvl w:val="2"/>
          <w:numId w:val="32"/>
        </w:numPr>
        <w:suppressAutoHyphens w:val="0"/>
        <w:spacing w:after="160" w:line="244" w:lineRule="auto"/>
        <w:textAlignment w:val="auto"/>
      </w:pPr>
      <w:r>
        <w:t xml:space="preserve">Expert : </w:t>
      </w:r>
      <w:r w:rsidR="00215E76">
        <w:t>2</w:t>
      </w:r>
      <w:r>
        <w:t xml:space="preserve"> </w:t>
      </w:r>
      <w:proofErr w:type="spellStart"/>
      <w:r>
        <w:t>CVs</w:t>
      </w:r>
      <w:proofErr w:type="spellEnd"/>
      <w:r>
        <w:t xml:space="preserve"> à fournir (chaque CV est limité à 2 pages)</w:t>
      </w:r>
      <w:r w:rsidR="007B47C7">
        <w:t xml:space="preserve"> en fonction du lot</w:t>
      </w:r>
    </w:p>
    <w:p w14:paraId="42308373" w14:textId="1ADDF851" w:rsidR="000E5A52" w:rsidRDefault="000E5A52" w:rsidP="000E5A52">
      <w:pPr>
        <w:pStyle w:val="Paragraphedeliste"/>
        <w:widowControl/>
        <w:numPr>
          <w:ilvl w:val="2"/>
          <w:numId w:val="32"/>
        </w:numPr>
        <w:suppressAutoHyphens w:val="0"/>
        <w:spacing w:after="160" w:line="244" w:lineRule="auto"/>
        <w:textAlignment w:val="auto"/>
      </w:pPr>
      <w:r>
        <w:t>Junior</w:t>
      </w:r>
      <w:r w:rsidR="00E42421">
        <w:t xml:space="preserve"> : Confirmé et </w:t>
      </w:r>
      <w:r>
        <w:t xml:space="preserve">Senior : </w:t>
      </w:r>
      <w:r w:rsidR="0098454D">
        <w:t>2</w:t>
      </w:r>
      <w:r>
        <w:t xml:space="preserve"> </w:t>
      </w:r>
      <w:proofErr w:type="spellStart"/>
      <w:r>
        <w:t>CVs</w:t>
      </w:r>
      <w:proofErr w:type="spellEnd"/>
      <w:r>
        <w:t xml:space="preserve"> </w:t>
      </w:r>
      <w:r>
        <w:rPr>
          <w:u w:val="single"/>
        </w:rPr>
        <w:t>par profil</w:t>
      </w:r>
      <w:r>
        <w:t xml:space="preserve"> (chaque CV limité à 2 pages max)</w:t>
      </w:r>
    </w:p>
    <w:p w14:paraId="12EFF6DB" w14:textId="77777777" w:rsidR="00340232" w:rsidRDefault="00340232" w:rsidP="00340232">
      <w:pPr>
        <w:pStyle w:val="Paragraphedeliste"/>
        <w:widowControl/>
        <w:suppressAutoHyphens w:val="0"/>
        <w:spacing w:after="160" w:line="244" w:lineRule="auto"/>
        <w:ind w:left="2160"/>
        <w:textAlignment w:val="auto"/>
      </w:pPr>
    </w:p>
    <w:p w14:paraId="5A2FB994" w14:textId="77777777" w:rsidR="000E5A52" w:rsidRDefault="000E5A52" w:rsidP="000E5A52">
      <w:pPr>
        <w:pStyle w:val="RedaliaNormal"/>
        <w:shd w:val="clear" w:color="auto" w:fill="C5E0B3"/>
      </w:pPr>
      <w:r>
        <w:rPr>
          <w:b/>
          <w:bCs/>
          <w:sz w:val="24"/>
          <w:szCs w:val="24"/>
        </w:rPr>
        <w:t>E – RSE : Actions environnementales et sociales applicables à l’achat</w:t>
      </w:r>
    </w:p>
    <w:p w14:paraId="73EF44B2" w14:textId="77777777" w:rsidR="000E5A52" w:rsidRDefault="000E5A52" w:rsidP="000E5A52">
      <w:pPr>
        <w:pStyle w:val="RedaliaNormal"/>
        <w:ind w:left="720"/>
      </w:pPr>
    </w:p>
    <w:p w14:paraId="3D2B4A04" w14:textId="77777777" w:rsidR="000E5A52" w:rsidRDefault="000E5A52" w:rsidP="000E5A52">
      <w:pPr>
        <w:pStyle w:val="RedaliaNormal"/>
      </w:pPr>
      <w:r>
        <w:t>Présenter les actions environnementales et sociales applicables à l‘achat (3 pages maximum) en complétant les tableaux liés aux Actions RSE (pages suivantes)</w:t>
      </w:r>
    </w:p>
    <w:p w14:paraId="40C33DEA" w14:textId="77777777" w:rsidR="000E5A52" w:rsidRDefault="000E5A52" w:rsidP="000E5A52">
      <w:pPr>
        <w:pStyle w:val="RedaliaNormal"/>
        <w:ind w:left="720"/>
      </w:pPr>
    </w:p>
    <w:p w14:paraId="1D2B1845" w14:textId="77777777" w:rsidR="000E5A52" w:rsidRDefault="000E5A52" w:rsidP="000E5A52">
      <w:pPr>
        <w:pStyle w:val="RedaliaNormal"/>
        <w:shd w:val="clear" w:color="auto" w:fill="C5E0B3"/>
        <w:rPr>
          <w:b/>
          <w:bCs/>
          <w:sz w:val="24"/>
          <w:szCs w:val="24"/>
        </w:rPr>
      </w:pPr>
      <w:r>
        <w:rPr>
          <w:b/>
          <w:bCs/>
          <w:sz w:val="24"/>
          <w:szCs w:val="24"/>
        </w:rPr>
        <w:t>F - Recommandations du prestataire pour la bonne réalisation de la mission</w:t>
      </w:r>
    </w:p>
    <w:p w14:paraId="242B659E" w14:textId="77777777" w:rsidR="000E5A52" w:rsidRDefault="000E5A52">
      <w:pPr>
        <w:widowControl/>
        <w:suppressAutoHyphens w:val="0"/>
      </w:pPr>
    </w:p>
    <w:p w14:paraId="2AFA7103" w14:textId="77777777" w:rsidR="000E5A52" w:rsidRDefault="000E5A52">
      <w:pPr>
        <w:widowControl/>
        <w:suppressAutoHyphens w:val="0"/>
      </w:pPr>
    </w:p>
    <w:p w14:paraId="4E468F09" w14:textId="2FE623DC" w:rsidR="001C5080" w:rsidRDefault="001C5080">
      <w:pPr>
        <w:widowControl/>
        <w:suppressAutoHyphens w:val="0"/>
      </w:pPr>
      <w:r>
        <w:br w:type="page"/>
      </w:r>
    </w:p>
    <w:p w14:paraId="05CC8DC8" w14:textId="77777777" w:rsidR="006F6BCF" w:rsidRDefault="006F6BCF">
      <w:pPr>
        <w:pStyle w:val="RedaliaNormal"/>
      </w:pPr>
    </w:p>
    <w:p w14:paraId="03EA2A3C" w14:textId="77777777" w:rsidR="006F6BCF" w:rsidRDefault="00766059">
      <w:pPr>
        <w:pStyle w:val="RedaliaTitre1"/>
      </w:pPr>
      <w:bookmarkStart w:id="50" w:name="_Toc1708984651"/>
      <w:bookmarkStart w:id="51" w:name="_Toc204789944"/>
      <w:r>
        <w:t>Annexe : Exigences relatives au certificat de signature</w:t>
      </w:r>
      <w:bookmarkEnd w:id="50"/>
      <w:bookmarkEnd w:id="51"/>
    </w:p>
    <w:p w14:paraId="4962EABB" w14:textId="77777777" w:rsidR="006F6BCF" w:rsidRDefault="006F6BCF">
      <w:pPr>
        <w:pStyle w:val="RedaliaNormal"/>
      </w:pPr>
    </w:p>
    <w:p w14:paraId="72D3E4D8" w14:textId="77777777" w:rsidR="006F6BCF" w:rsidRDefault="006F6BCF">
      <w:pPr>
        <w:pStyle w:val="RedaliaNormal"/>
      </w:pPr>
    </w:p>
    <w:p w14:paraId="45FF154D" w14:textId="77777777" w:rsidR="006F6BCF" w:rsidRDefault="00766059">
      <w:pPr>
        <w:pStyle w:val="RedaliaNormal"/>
      </w:pPr>
      <w:r>
        <w:rPr>
          <w:u w:val="single"/>
        </w:rPr>
        <w:t>Certificat de signature</w:t>
      </w:r>
      <w:r>
        <w:t xml:space="preserve"> :</w:t>
      </w:r>
    </w:p>
    <w:p w14:paraId="65E0F4ED" w14:textId="77777777" w:rsidR="006F6BCF" w:rsidRDefault="006F6BCF">
      <w:pPr>
        <w:pStyle w:val="RedaliaNormal"/>
      </w:pPr>
    </w:p>
    <w:p w14:paraId="02210CA8" w14:textId="77777777" w:rsidR="006F6BCF" w:rsidRDefault="00766059">
      <w:pPr>
        <w:pStyle w:val="RedaliaNormal"/>
      </w:pPr>
      <w:r>
        <w:t xml:space="preserve">Le certificat de signature du signataire doit être conforme au règlement « </w:t>
      </w:r>
      <w:proofErr w:type="spellStart"/>
      <w:r>
        <w:t>eIDAS</w:t>
      </w:r>
      <w:proofErr w:type="spellEnd"/>
      <w:r>
        <w:t xml:space="preserve"> » ou équivalent et respecter le niveau de sécurité exigé. Le RGS (référentiel général de sécurité) est remplacé par le règlement « </w:t>
      </w:r>
      <w:proofErr w:type="spellStart"/>
      <w:r>
        <w:t>eIDAS</w:t>
      </w:r>
      <w:proofErr w:type="spellEnd"/>
      <w:r>
        <w:t xml:space="preserve"> » depuis le 1er octobre 2018.</w:t>
      </w:r>
    </w:p>
    <w:p w14:paraId="48EF335E" w14:textId="77777777" w:rsidR="006F6BCF" w:rsidRDefault="00766059">
      <w:pPr>
        <w:pStyle w:val="RedaliaNormal"/>
      </w:pPr>
      <w:r>
        <w:t>Néanmoins, les candidats disposant déjà d’un certificat « RGS », celui-ci reste utilisable jusqu’au terme de sa période de validité.</w:t>
      </w:r>
    </w:p>
    <w:p w14:paraId="1B9268AE" w14:textId="77777777" w:rsidR="006F6BCF" w:rsidRDefault="006F6BCF">
      <w:pPr>
        <w:pStyle w:val="RedaliaNormal"/>
      </w:pPr>
    </w:p>
    <w:p w14:paraId="5AC6A949" w14:textId="77777777" w:rsidR="006F6BCF" w:rsidRDefault="00766059">
      <w:pPr>
        <w:pStyle w:val="RedaliaNormal"/>
      </w:pPr>
      <w:r>
        <w:rPr>
          <w:b/>
        </w:rPr>
        <w:t>- Cas 1 : Certificat émis par une Autorité de certification « reconnue » - Aucun justificatif à fournir</w:t>
      </w:r>
    </w:p>
    <w:p w14:paraId="125939B4" w14:textId="77777777" w:rsidR="006F6BCF" w:rsidRDefault="006F6BCF">
      <w:pPr>
        <w:pStyle w:val="RedaliaNormal"/>
      </w:pPr>
    </w:p>
    <w:p w14:paraId="04075C40" w14:textId="77777777" w:rsidR="006F6BCF" w:rsidRDefault="00766059">
      <w:pPr>
        <w:pStyle w:val="RedaliaNormal"/>
      </w:pPr>
      <w:r>
        <w:t>Le certificat de signature est émis par une Autorité de certification mentionnée dans la liste de confiance suivante :</w:t>
      </w:r>
    </w:p>
    <w:p w14:paraId="296ABD05" w14:textId="77777777" w:rsidR="006F6BCF" w:rsidRDefault="00766059">
      <w:pPr>
        <w:pStyle w:val="RedaliaNormal"/>
        <w:jc w:val="center"/>
      </w:pPr>
      <w:r>
        <w:t>https://www.ssi.gouv.fr/administration/visa-de-securite/</w:t>
      </w:r>
    </w:p>
    <w:p w14:paraId="7EE24460" w14:textId="77777777" w:rsidR="006F6BCF" w:rsidRDefault="006F6BCF">
      <w:pPr>
        <w:pStyle w:val="RedaliaNormal"/>
      </w:pPr>
    </w:p>
    <w:p w14:paraId="496615BA" w14:textId="77777777" w:rsidR="006F6BCF" w:rsidRDefault="00766059">
      <w:pPr>
        <w:pStyle w:val="RedaliaNormal"/>
      </w:pPr>
      <w:r>
        <w:t>Les candidats européens trouveront également la liste complète des prestataires sur la liste de confiance tenue par la Commission européenne :</w:t>
      </w:r>
    </w:p>
    <w:p w14:paraId="6C5C6E56" w14:textId="77777777" w:rsidR="006F6BCF" w:rsidRDefault="001A62A7">
      <w:pPr>
        <w:pStyle w:val="RedaliaNormal"/>
        <w:jc w:val="center"/>
      </w:pPr>
      <w:hyperlink r:id="rId14" w:anchor="/tl/FR" w:history="1">
        <w:r w:rsidR="00766059">
          <w:rPr>
            <w:rStyle w:val="Lienhypertexte"/>
          </w:rPr>
          <w:t>https://webgate.ec.europa.eu/tl-browser/#/tl/FR</w:t>
        </w:r>
      </w:hyperlink>
    </w:p>
    <w:p w14:paraId="3101DD6B" w14:textId="77777777" w:rsidR="006F6BCF" w:rsidRDefault="006F6BCF">
      <w:pPr>
        <w:pStyle w:val="RedaliaNormal"/>
      </w:pPr>
    </w:p>
    <w:p w14:paraId="2F98153C" w14:textId="77777777" w:rsidR="006F6BCF" w:rsidRDefault="00766059">
      <w:pPr>
        <w:pStyle w:val="RedaliaNormal"/>
      </w:pPr>
      <w:r>
        <w:t>Dans ce cas, le soumissionnaire n’a aucun justificatif à fournir sur le certificat de signature utilisé pour signer sa réponse.</w:t>
      </w:r>
    </w:p>
    <w:p w14:paraId="78735D95" w14:textId="77777777" w:rsidR="006F6BCF" w:rsidRDefault="006F6BCF">
      <w:pPr>
        <w:pStyle w:val="RedaliaNormal"/>
      </w:pPr>
    </w:p>
    <w:p w14:paraId="7CDA2592" w14:textId="77777777" w:rsidR="006F6BCF" w:rsidRDefault="00766059">
      <w:pPr>
        <w:pStyle w:val="RedaliaNormal"/>
      </w:pPr>
      <w:r>
        <w:rPr>
          <w:b/>
        </w:rPr>
        <w:t>- Cas 2 : Le certificat de signature électronique n’est pas référencé sur une liste de confiance - Différents justificatifs à fournir</w:t>
      </w:r>
    </w:p>
    <w:p w14:paraId="57E04966" w14:textId="77777777" w:rsidR="006F6BCF" w:rsidRDefault="006F6BCF">
      <w:pPr>
        <w:pStyle w:val="RedaliaNormal"/>
      </w:pPr>
    </w:p>
    <w:p w14:paraId="526CB588" w14:textId="77777777" w:rsidR="006F6BCF" w:rsidRDefault="00766059">
      <w:pPr>
        <w:pStyle w:val="RedaliaNormal"/>
      </w:pPr>
      <w:r>
        <w:t>La plateforme de dématérialisation accepte tous les certificats de signature électronique présentant des conditions de sécurité équivalentes à celles du Référentiel général de sécurité (RGS) et « </w:t>
      </w:r>
      <w:proofErr w:type="spellStart"/>
      <w:r>
        <w:t>eIDAS</w:t>
      </w:r>
      <w:proofErr w:type="spellEnd"/>
      <w:r>
        <w:t> ».</w:t>
      </w:r>
    </w:p>
    <w:p w14:paraId="2F7CF654" w14:textId="77777777" w:rsidR="006F6BCF" w:rsidRDefault="00766059">
      <w:pPr>
        <w:pStyle w:val="RedaliaNormal"/>
      </w:pPr>
      <w:r>
        <w:t>Le candidat s’assure par lui-même que le certificat qu’il utilise est au moins conforme au niveau de sécurité défini par le Référentiel général de sécurité (RGS) ou « </w:t>
      </w:r>
      <w:proofErr w:type="spellStart"/>
      <w:r>
        <w:t>eIDAS</w:t>
      </w:r>
      <w:proofErr w:type="spellEnd"/>
      <w:r>
        <w:t> », et en fournit les justificatifs dans sa réponse électronique.</w:t>
      </w:r>
    </w:p>
    <w:p w14:paraId="6802B8C6" w14:textId="77777777" w:rsidR="006F6BCF" w:rsidRDefault="00766059">
      <w:pPr>
        <w:pStyle w:val="RedaliaNormal"/>
      </w:pPr>
      <w:r>
        <w:t>Le candidat fournit également tous les éléments techniques permettant au pouvoir adjudicateur de s’assurer de la bonne validité technique du certificat utilisé.</w:t>
      </w:r>
    </w:p>
    <w:p w14:paraId="4B776FFA" w14:textId="77777777" w:rsidR="006F6BCF" w:rsidRDefault="006F6BCF">
      <w:pPr>
        <w:pStyle w:val="RedaliaNormal"/>
      </w:pPr>
    </w:p>
    <w:p w14:paraId="400FA0D0" w14:textId="77777777" w:rsidR="006F6BCF" w:rsidRDefault="00766059">
      <w:pPr>
        <w:pStyle w:val="RedaliaNormal"/>
      </w:pPr>
      <w:r>
        <w:t>Ainsi, le signataire doit transmettre avec sa réponse électronique les éléments suivants :</w:t>
      </w:r>
    </w:p>
    <w:p w14:paraId="329920FB" w14:textId="77777777" w:rsidR="006F6BCF" w:rsidRDefault="006F6BCF">
      <w:pPr>
        <w:pStyle w:val="RedaliaNormal"/>
      </w:pPr>
    </w:p>
    <w:p w14:paraId="379319B9" w14:textId="77777777" w:rsidR="006F6BCF" w:rsidRDefault="00766059">
      <w:pPr>
        <w:pStyle w:val="RedaliaNormal"/>
      </w:pPr>
      <w:r>
        <w:t xml:space="preserve">     a) tout élément permettant la vérification de la qualité et du niveau de sécurité du certificat de signature (preuve de la qualification de l’Autorité de certification, politique de certification, adresse du site internet du référencement de l’Autorité de certification),</w:t>
      </w:r>
    </w:p>
    <w:p w14:paraId="214E8E33" w14:textId="77777777" w:rsidR="006F6BCF" w:rsidRDefault="00766059">
      <w:pPr>
        <w:pStyle w:val="RedaliaNormal"/>
      </w:pPr>
      <w:r>
        <w:t xml:space="preserve">     b) les outils techniques de vérification du certificat (chaîne de certification complète jusqu’à l’Autorité de Certification racine, adresse de téléchargement de la dernière mise à jour de la liste de révocation des certificats).</w:t>
      </w:r>
    </w:p>
    <w:p w14:paraId="5DB1F2A6" w14:textId="77777777" w:rsidR="006F6BCF" w:rsidRDefault="006F6BCF">
      <w:pPr>
        <w:pStyle w:val="RedaliaNormal"/>
      </w:pPr>
    </w:p>
    <w:p w14:paraId="0EB6A605" w14:textId="77777777" w:rsidR="006F6BCF" w:rsidRDefault="00766059">
      <w:pPr>
        <w:pStyle w:val="RedaliaNormal"/>
      </w:pPr>
      <w:r>
        <w:t>Il est précisé que tous ces éléments doivent être d’accès et d’utilisation gratuits pour l’acheteur, et être accompagnés le cas échéant de notices d’utilisation claires.</w:t>
      </w:r>
    </w:p>
    <w:p w14:paraId="100BCDE2" w14:textId="77777777" w:rsidR="006F6BCF" w:rsidRDefault="006F6BCF">
      <w:pPr>
        <w:pStyle w:val="RedaliaNormal"/>
      </w:pPr>
    </w:p>
    <w:p w14:paraId="2FE61631" w14:textId="77777777" w:rsidR="006F6BCF" w:rsidRDefault="00766059">
      <w:pPr>
        <w:pStyle w:val="RedaliaNormal"/>
      </w:pPr>
      <w:r>
        <w:rPr>
          <w:u w:val="single"/>
        </w:rPr>
        <w:t>Outil de signature utilisé pour signer les fichiers</w:t>
      </w:r>
      <w:r>
        <w:t xml:space="preserve"> :</w:t>
      </w:r>
    </w:p>
    <w:p w14:paraId="28EE2D65" w14:textId="77777777" w:rsidR="006F6BCF" w:rsidRDefault="006F6BCF">
      <w:pPr>
        <w:pStyle w:val="RedaliaNormal"/>
      </w:pPr>
    </w:p>
    <w:p w14:paraId="54503C21" w14:textId="77777777" w:rsidR="006F6BCF" w:rsidRDefault="00766059">
      <w:pPr>
        <w:pStyle w:val="RedaliaNormal"/>
      </w:pPr>
      <w:r>
        <w:t>La réglementation autorise le soumissionnaire à utiliser l’outil de signature de son choix.</w:t>
      </w:r>
    </w:p>
    <w:p w14:paraId="251F9FEC" w14:textId="77777777" w:rsidR="006F6BCF" w:rsidRDefault="006F6BCF">
      <w:pPr>
        <w:pStyle w:val="RedaliaNormal"/>
      </w:pPr>
    </w:p>
    <w:p w14:paraId="4946E3B8" w14:textId="77777777" w:rsidR="006F6BCF" w:rsidRDefault="00766059">
      <w:pPr>
        <w:pStyle w:val="RedaliaNormal"/>
      </w:pPr>
      <w:r>
        <w:rPr>
          <w:b/>
        </w:rPr>
        <w:t>- Cas 1 : Le soumissionnaire utilise l’outil de signature de la plate-forme - Aucun justificatif à fournir</w:t>
      </w:r>
    </w:p>
    <w:p w14:paraId="3F9AF285" w14:textId="77777777" w:rsidR="006F6BCF" w:rsidRDefault="006F6BCF">
      <w:pPr>
        <w:pStyle w:val="RedaliaNormal"/>
      </w:pPr>
    </w:p>
    <w:p w14:paraId="3656A8A4" w14:textId="77777777" w:rsidR="006F6BCF" w:rsidRDefault="00766059">
      <w:pPr>
        <w:pStyle w:val="RedaliaNormal"/>
      </w:pPr>
      <w:r>
        <w:t xml:space="preserve">La plate-forme intègre un outil de signature électronique, qui réalise des Jetons de signature au format réglementaire </w:t>
      </w:r>
      <w:proofErr w:type="spellStart"/>
      <w:r>
        <w:t>XAdES</w:t>
      </w:r>
      <w:proofErr w:type="spellEnd"/>
      <w:r>
        <w:t>.</w:t>
      </w:r>
    </w:p>
    <w:p w14:paraId="35906AA1" w14:textId="77777777" w:rsidR="006F6BCF" w:rsidRDefault="006F6BCF">
      <w:pPr>
        <w:pStyle w:val="RedaliaNormal"/>
      </w:pPr>
    </w:p>
    <w:p w14:paraId="00576E2C" w14:textId="77777777" w:rsidR="006F6BCF" w:rsidRDefault="00766059">
      <w:pPr>
        <w:pStyle w:val="RedaliaNormal"/>
      </w:pPr>
      <w:r>
        <w:t>Dans ce cas, le soumissionnaire n’a aucun justificatif à fournir sur les signatures électroniques transmises et l’outil de signature utilisé.</w:t>
      </w:r>
    </w:p>
    <w:p w14:paraId="352A2CA2" w14:textId="77777777" w:rsidR="006F6BCF" w:rsidRDefault="006F6BCF">
      <w:pPr>
        <w:pStyle w:val="RedaliaNormal"/>
      </w:pPr>
    </w:p>
    <w:p w14:paraId="2DFF017F" w14:textId="77777777" w:rsidR="006F6BCF" w:rsidRDefault="00766059">
      <w:pPr>
        <w:pStyle w:val="RedaliaNormal"/>
      </w:pPr>
      <w:r>
        <w:rPr>
          <w:b/>
        </w:rPr>
        <w:t>- Cas 2 : Le soumissionnaire utilise un autre outil de signature que celui intégré à la plate-forme - Différents justificatifs à fournir</w:t>
      </w:r>
    </w:p>
    <w:p w14:paraId="2AE9214E" w14:textId="77777777" w:rsidR="006F6BCF" w:rsidRDefault="006F6BCF">
      <w:pPr>
        <w:pStyle w:val="RedaliaNormal"/>
      </w:pPr>
    </w:p>
    <w:p w14:paraId="4CAF81B4" w14:textId="77777777" w:rsidR="006F6BCF" w:rsidRDefault="00766059">
      <w:pPr>
        <w:pStyle w:val="RedaliaNormal"/>
      </w:pPr>
      <w:r>
        <w:t>Lorsque le candidat utilise un autre outil de signature que celui de la plate-forme, il doit respecter les deux obligations suivantes :</w:t>
      </w:r>
    </w:p>
    <w:p w14:paraId="040FC477" w14:textId="77777777" w:rsidR="006F6BCF" w:rsidRDefault="006F6BCF">
      <w:pPr>
        <w:pStyle w:val="RedaliaNormal"/>
      </w:pPr>
    </w:p>
    <w:p w14:paraId="6BF0B62F" w14:textId="77777777" w:rsidR="006F6BCF" w:rsidRDefault="00766059">
      <w:pPr>
        <w:pStyle w:val="RedaliaNormal"/>
      </w:pPr>
      <w:r>
        <w:t xml:space="preserve">     a) Produire des formats de signature </w:t>
      </w:r>
      <w:proofErr w:type="spellStart"/>
      <w:r>
        <w:t>XAdES</w:t>
      </w:r>
      <w:proofErr w:type="spellEnd"/>
      <w:r>
        <w:t xml:space="preserve">, </w:t>
      </w:r>
      <w:proofErr w:type="spellStart"/>
      <w:r>
        <w:t>CAdES</w:t>
      </w:r>
      <w:proofErr w:type="spellEnd"/>
      <w:r>
        <w:t xml:space="preserve"> ou </w:t>
      </w:r>
      <w:proofErr w:type="spellStart"/>
      <w:r>
        <w:t>PAdES</w:t>
      </w:r>
      <w:proofErr w:type="spellEnd"/>
      <w:r>
        <w:t>.</w:t>
      </w:r>
    </w:p>
    <w:p w14:paraId="0C8A28AE" w14:textId="77777777" w:rsidR="006F6BCF" w:rsidRDefault="00766059">
      <w:pPr>
        <w:pStyle w:val="RedaliaNormal"/>
      </w:pPr>
      <w:r>
        <w:t xml:space="preserve">     b) Permettre la vérification en transmettant en parallèle les éléments nécessaires pour procéder à la vérification de la validité de la signature et de l’intégrité du document, et ce, gratuitement.</w:t>
      </w:r>
    </w:p>
    <w:p w14:paraId="2B475B93" w14:textId="77777777" w:rsidR="006F6BCF" w:rsidRDefault="00766059">
      <w:pPr>
        <w:pStyle w:val="RedaliaNormal"/>
      </w:pPr>
      <w:r>
        <w:rPr>
          <w:b/>
          <w:u w:val="single"/>
        </w:rPr>
        <w:t>ATTENTION :</w:t>
      </w:r>
      <w:r>
        <w:t xml:space="preserve"> Il est porté à l’attention des candidats que l’utilisation d’une signature électronique ne doit pas entrer en contradiction avec l’article « Conditions d’envoi et de remise des candidatures et des offres », alinéas « Formats de fichiers acceptés ». A ce titre, il est recommandé d’utiliser une signature « détachée » lorsque l’outil de signature le permet ; afin de remettre un document dans un format accepté.</w:t>
      </w:r>
    </w:p>
    <w:p w14:paraId="6B90F15D" w14:textId="77777777" w:rsidR="006F6BCF" w:rsidRDefault="006F6BCF">
      <w:pPr>
        <w:pStyle w:val="RedaliaNormal"/>
      </w:pPr>
    </w:p>
    <w:p w14:paraId="32886A42" w14:textId="77777777" w:rsidR="006F6BCF" w:rsidRDefault="00766059">
      <w:pPr>
        <w:pStyle w:val="RedaliaNormal"/>
      </w:pPr>
      <w:r>
        <w:t>Il est précisé que tous ces éléments doivent être d’accès et d’utilisation gratuits pour l’acheteur, et être accompagnés le cas échéant de notices d’utilisation claires.</w:t>
      </w:r>
    </w:p>
    <w:p w14:paraId="366127FD" w14:textId="77777777" w:rsidR="006F6BCF" w:rsidRDefault="006F6BCF">
      <w:pPr>
        <w:pStyle w:val="RedaliaNormal"/>
      </w:pPr>
    </w:p>
    <w:sectPr w:rsidR="006F6BCF" w:rsidSect="00A672AC">
      <w:headerReference w:type="default" r:id="rId15"/>
      <w:footerReference w:type="default" r:id="rId16"/>
      <w:pgSz w:w="11906" w:h="16838"/>
      <w:pgMar w:top="1843" w:right="1134" w:bottom="1134"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993510" w14:textId="77777777" w:rsidR="00F60341" w:rsidRDefault="00F60341">
      <w:r>
        <w:separator/>
      </w:r>
    </w:p>
  </w:endnote>
  <w:endnote w:type="continuationSeparator" w:id="0">
    <w:p w14:paraId="69CDC670" w14:textId="77777777" w:rsidR="00F60341" w:rsidRDefault="00F60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2"/>
    <w:family w:val="auto"/>
    <w:pitch w:val="default"/>
  </w:font>
  <w:font w:name="ITC Avant Garde Std Bk">
    <w:altName w:val="Arial"/>
    <w:charset w:val="00"/>
    <w:family w:val="swiss"/>
    <w:pitch w:val="variable"/>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00361149"/>
      <w:docPartObj>
        <w:docPartGallery w:val="Page Numbers (Bottom of Page)"/>
        <w:docPartUnique/>
      </w:docPartObj>
    </w:sdtPr>
    <w:sdtEndPr/>
    <w:sdtContent>
      <w:p w14:paraId="3C3BD628" w14:textId="2A17C25B" w:rsidR="00246D95" w:rsidRDefault="00246D95">
        <w:pPr>
          <w:pStyle w:val="Pieddepage"/>
          <w:jc w:val="center"/>
        </w:pPr>
        <w:r>
          <w:fldChar w:fldCharType="begin"/>
        </w:r>
        <w:r>
          <w:instrText>PAGE   \* MERGEFORMAT</w:instrText>
        </w:r>
        <w:r>
          <w:fldChar w:fldCharType="separate"/>
        </w:r>
        <w:r w:rsidR="00CA768F">
          <w:rPr>
            <w:noProof/>
          </w:rPr>
          <w:t>20</w:t>
        </w:r>
        <w:r>
          <w:fldChar w:fldCharType="end"/>
        </w:r>
      </w:p>
    </w:sdtContent>
  </w:sdt>
  <w:p w14:paraId="35432DA8" w14:textId="5AB065BC" w:rsidR="00F60341" w:rsidRDefault="00F60341">
    <w:pPr>
      <w:pStyle w:val="RedaliaNormal"/>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4C3982" w14:textId="77777777" w:rsidR="00F60341" w:rsidRDefault="00F60341">
      <w:r>
        <w:rPr>
          <w:color w:val="000000"/>
        </w:rPr>
        <w:separator/>
      </w:r>
    </w:p>
  </w:footnote>
  <w:footnote w:type="continuationSeparator" w:id="0">
    <w:p w14:paraId="2CA53F04" w14:textId="77777777" w:rsidR="00F60341" w:rsidRDefault="00F603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2" w:type="dxa"/>
      <w:tblLayout w:type="fixed"/>
      <w:tblCellMar>
        <w:left w:w="10" w:type="dxa"/>
        <w:right w:w="10" w:type="dxa"/>
      </w:tblCellMar>
      <w:tblLook w:val="0000" w:firstRow="0" w:lastRow="0" w:firstColumn="0" w:lastColumn="0" w:noHBand="0" w:noVBand="0"/>
    </w:tblPr>
    <w:tblGrid>
      <w:gridCol w:w="1384"/>
      <w:gridCol w:w="7828"/>
    </w:tblGrid>
    <w:tr w:rsidR="00F60341" w14:paraId="5D998724" w14:textId="77777777">
      <w:tc>
        <w:tcPr>
          <w:tcW w:w="1384" w:type="dxa"/>
          <w:tcMar>
            <w:top w:w="0" w:type="dxa"/>
            <w:left w:w="108" w:type="dxa"/>
            <w:bottom w:w="0" w:type="dxa"/>
            <w:right w:w="108" w:type="dxa"/>
          </w:tcMar>
        </w:tcPr>
        <w:p w14:paraId="172A491E" w14:textId="77777777" w:rsidR="00F60341" w:rsidRDefault="00F60341">
          <w:pPr>
            <w:pStyle w:val="RedaliaNormal"/>
          </w:pPr>
        </w:p>
      </w:tc>
      <w:tc>
        <w:tcPr>
          <w:tcW w:w="7828" w:type="dxa"/>
          <w:tcBorders>
            <w:bottom w:val="single" w:sz="4" w:space="0" w:color="000000"/>
          </w:tcBorders>
          <w:tcMar>
            <w:top w:w="0" w:type="dxa"/>
            <w:left w:w="108" w:type="dxa"/>
            <w:bottom w:w="0" w:type="dxa"/>
            <w:right w:w="108" w:type="dxa"/>
          </w:tcMar>
        </w:tcPr>
        <w:p w14:paraId="4C43BC3E" w14:textId="77777777" w:rsidR="00F60341" w:rsidRDefault="00F60341">
          <w:pPr>
            <w:pStyle w:val="RdaliaLgende"/>
            <w:jc w:val="right"/>
          </w:pPr>
          <w:r>
            <w:t xml:space="preserve"> DXR-2025-0220</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109EC"/>
    <w:multiLevelType w:val="multilevel"/>
    <w:tmpl w:val="B63004DA"/>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8F1F9A"/>
    <w:multiLevelType w:val="multilevel"/>
    <w:tmpl w:val="2A5A336C"/>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15:restartNumberingAfterBreak="0">
    <w:nsid w:val="0FF14E99"/>
    <w:multiLevelType w:val="multilevel"/>
    <w:tmpl w:val="6A7A4DF8"/>
    <w:lvl w:ilvl="0">
      <w:start w:val="1"/>
      <w:numFmt w:val="bullet"/>
      <w:lvlText w:val=""/>
      <w:lvlJc w:val="left"/>
      <w:pPr>
        <w:ind w:left="1080" w:hanging="720"/>
      </w:pPr>
      <w:rPr>
        <w:rFonts w:ascii="Wingdings" w:hAnsi="Wingdings"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13850BBF"/>
    <w:multiLevelType w:val="multilevel"/>
    <w:tmpl w:val="B62A06C4"/>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4" w15:restartNumberingAfterBreak="0">
    <w:nsid w:val="15075E1B"/>
    <w:multiLevelType w:val="multilevel"/>
    <w:tmpl w:val="6A7A4DF8"/>
    <w:lvl w:ilvl="0">
      <w:start w:val="1"/>
      <w:numFmt w:val="bullet"/>
      <w:lvlText w:val=""/>
      <w:lvlJc w:val="left"/>
      <w:pPr>
        <w:ind w:left="1080" w:hanging="720"/>
      </w:pPr>
      <w:rPr>
        <w:rFonts w:ascii="Wingdings" w:hAnsi="Wingdings"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16A161DA"/>
    <w:multiLevelType w:val="multilevel"/>
    <w:tmpl w:val="846CC374"/>
    <w:styleLink w:val="LFO20"/>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15:restartNumberingAfterBreak="0">
    <w:nsid w:val="1D917CD9"/>
    <w:multiLevelType w:val="multilevel"/>
    <w:tmpl w:val="A2AE8EEA"/>
    <w:styleLink w:val="LFO28"/>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 w15:restartNumberingAfterBreak="0">
    <w:nsid w:val="211C5FBA"/>
    <w:multiLevelType w:val="hybridMultilevel"/>
    <w:tmpl w:val="E2D83ECE"/>
    <w:lvl w:ilvl="0" w:tplc="5E880D1A">
      <w:start w:val="1"/>
      <w:numFmt w:val="decimal"/>
      <w:lvlText w:val="%1."/>
      <w:lvlJc w:val="left"/>
      <w:pPr>
        <w:ind w:left="360" w:hanging="360"/>
      </w:pPr>
      <w:rPr>
        <w:b w:val="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8" w15:restartNumberingAfterBreak="0">
    <w:nsid w:val="233D03FC"/>
    <w:multiLevelType w:val="multilevel"/>
    <w:tmpl w:val="07882B66"/>
    <w:styleLink w:val="LFO29"/>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2F811579"/>
    <w:multiLevelType w:val="multilevel"/>
    <w:tmpl w:val="DD06E520"/>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2F8713BE"/>
    <w:multiLevelType w:val="hybridMultilevel"/>
    <w:tmpl w:val="82C083F6"/>
    <w:lvl w:ilvl="0" w:tplc="04FED8A4">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FCA0E9C"/>
    <w:multiLevelType w:val="multilevel"/>
    <w:tmpl w:val="38F46238"/>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15:restartNumberingAfterBreak="0">
    <w:nsid w:val="31484CA5"/>
    <w:multiLevelType w:val="hybridMultilevel"/>
    <w:tmpl w:val="235E3E5A"/>
    <w:lvl w:ilvl="0" w:tplc="4AA89A9E">
      <w:numFmt w:val="bullet"/>
      <w:lvlText w:val="-"/>
      <w:lvlJc w:val="left"/>
      <w:pPr>
        <w:ind w:left="1080" w:hanging="360"/>
      </w:pPr>
      <w:rPr>
        <w:rFonts w:ascii="ITC Avant Garde Std Bk" w:eastAsia="ITC Avant Garde Std Bk" w:hAnsi="ITC Avant Garde Std Bk" w:cs="ITC Avant Garde Std Bk" w:hint="default"/>
        <w:b/>
        <w:u w:val="single"/>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3" w15:restartNumberingAfterBreak="0">
    <w:nsid w:val="3B283DE3"/>
    <w:multiLevelType w:val="multilevel"/>
    <w:tmpl w:val="CE064380"/>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 w15:restartNumberingAfterBreak="0">
    <w:nsid w:val="3D646983"/>
    <w:multiLevelType w:val="multilevel"/>
    <w:tmpl w:val="42AC4490"/>
    <w:styleLink w:val="LFO4"/>
    <w:lvl w:ilvl="0">
      <w:numFmt w:val="bullet"/>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5" w15:restartNumberingAfterBreak="0">
    <w:nsid w:val="40460B59"/>
    <w:multiLevelType w:val="multilevel"/>
    <w:tmpl w:val="FB966D66"/>
    <w:styleLink w:val="LFO24"/>
    <w:lvl w:ilvl="0">
      <w:numFmt w:val="bullet"/>
      <w:pStyle w:val="Elmentrecens"/>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6" w15:restartNumberingAfterBreak="0">
    <w:nsid w:val="40EF6166"/>
    <w:multiLevelType w:val="multilevel"/>
    <w:tmpl w:val="9852F82A"/>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7" w15:restartNumberingAfterBreak="0">
    <w:nsid w:val="485E0DE2"/>
    <w:multiLevelType w:val="hybridMultilevel"/>
    <w:tmpl w:val="8A8E130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B071AFF"/>
    <w:multiLevelType w:val="multilevel"/>
    <w:tmpl w:val="C4A6BE0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4B42798D"/>
    <w:multiLevelType w:val="hybridMultilevel"/>
    <w:tmpl w:val="F95CEE1C"/>
    <w:lvl w:ilvl="0" w:tplc="27C88244">
      <w:numFmt w:val="bullet"/>
      <w:lvlText w:val="-"/>
      <w:lvlJc w:val="left"/>
      <w:pPr>
        <w:ind w:left="720" w:hanging="360"/>
      </w:pPr>
      <w:rPr>
        <w:rFonts w:ascii="ITC Avant Garde Std Bk" w:eastAsia="ITC Avant Garde Std Bk" w:hAnsi="ITC Avant Garde Std Bk" w:cs="ITC Avant Garde Std Bk"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EB42439"/>
    <w:multiLevelType w:val="multilevel"/>
    <w:tmpl w:val="8F80829A"/>
    <w:styleLink w:val="LFO5"/>
    <w:lvl w:ilvl="0">
      <w:numFmt w:val="bullet"/>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1" w15:restartNumberingAfterBreak="0">
    <w:nsid w:val="52E5572D"/>
    <w:multiLevelType w:val="multilevel"/>
    <w:tmpl w:val="333E204C"/>
    <w:styleLink w:val="LFO23"/>
    <w:lvl w:ilvl="0">
      <w:numFmt w:val="bullet"/>
      <w:pStyle w:val="Chapitr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22" w15:restartNumberingAfterBreak="0">
    <w:nsid w:val="5A6A6840"/>
    <w:multiLevelType w:val="multilevel"/>
    <w:tmpl w:val="5DD8BD7C"/>
    <w:styleLink w:val="LFO2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3" w15:restartNumberingAfterBreak="0">
    <w:nsid w:val="60322B02"/>
    <w:multiLevelType w:val="multilevel"/>
    <w:tmpl w:val="3CFAC83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4" w15:restartNumberingAfterBreak="0">
    <w:nsid w:val="63347D45"/>
    <w:multiLevelType w:val="multilevel"/>
    <w:tmpl w:val="21EA7BFA"/>
    <w:styleLink w:val="LFO22"/>
    <w:lvl w:ilvl="0">
      <w:numFmt w:val="bullet"/>
      <w:pStyle w:val="AvecPuce"/>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25" w15:restartNumberingAfterBreak="0">
    <w:nsid w:val="6E6A307B"/>
    <w:multiLevelType w:val="multilevel"/>
    <w:tmpl w:val="57C698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22B3C6C"/>
    <w:multiLevelType w:val="multilevel"/>
    <w:tmpl w:val="9C607CA4"/>
    <w:styleLink w:val="LFO18"/>
    <w:lvl w:ilvl="0">
      <w:start w:val="1"/>
      <w:numFmt w:val="decimal"/>
      <w:suff w:val="space"/>
      <w:lvlText w:val="%1."/>
      <w:lvlJc w:val="left"/>
      <w:pPr>
        <w:ind w:left="360" w:hanging="360"/>
      </w:pPr>
      <w:rPr>
        <w:rFonts w:cs="Times New Roman"/>
      </w:rPr>
    </w:lvl>
    <w:lvl w:ilvl="1">
      <w:start w:val="1"/>
      <w:numFmt w:val="decimal"/>
      <w:suff w:val="space"/>
      <w:lvlText w:val="%1.%2"/>
      <w:lvlJc w:val="left"/>
      <w:pPr>
        <w:ind w:left="720" w:hanging="360"/>
      </w:pPr>
      <w:rPr>
        <w:rFonts w:cs="Times New Roman"/>
      </w:rPr>
    </w:lvl>
    <w:lvl w:ilvl="2">
      <w:start w:val="1"/>
      <w:numFmt w:val="decimal"/>
      <w:suff w:val="space"/>
      <w:lvlText w:val="%1.%2.%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7" w15:restartNumberingAfterBreak="0">
    <w:nsid w:val="753E0BDA"/>
    <w:multiLevelType w:val="hybridMultilevel"/>
    <w:tmpl w:val="895AE1B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8" w15:restartNumberingAfterBreak="0">
    <w:nsid w:val="78DE3785"/>
    <w:multiLevelType w:val="hybridMultilevel"/>
    <w:tmpl w:val="C3A876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B1E09E4"/>
    <w:multiLevelType w:val="multilevel"/>
    <w:tmpl w:val="6680DC0C"/>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1565263598">
    <w:abstractNumId w:val="1"/>
  </w:num>
  <w:num w:numId="2" w16cid:durableId="1825968350">
    <w:abstractNumId w:val="3"/>
  </w:num>
  <w:num w:numId="3" w16cid:durableId="1856844321">
    <w:abstractNumId w:val="29"/>
  </w:num>
  <w:num w:numId="4" w16cid:durableId="94520747">
    <w:abstractNumId w:val="14"/>
  </w:num>
  <w:num w:numId="5" w16cid:durableId="1056320566">
    <w:abstractNumId w:val="20"/>
  </w:num>
  <w:num w:numId="6" w16cid:durableId="1261332539">
    <w:abstractNumId w:val="26"/>
  </w:num>
  <w:num w:numId="7" w16cid:durableId="1069228333">
    <w:abstractNumId w:val="5"/>
  </w:num>
  <w:num w:numId="8" w16cid:durableId="1019163434">
    <w:abstractNumId w:val="22"/>
  </w:num>
  <w:num w:numId="9" w16cid:durableId="294484589">
    <w:abstractNumId w:val="24"/>
  </w:num>
  <w:num w:numId="10" w16cid:durableId="2032022829">
    <w:abstractNumId w:val="21"/>
  </w:num>
  <w:num w:numId="11" w16cid:durableId="1602756828">
    <w:abstractNumId w:val="15"/>
  </w:num>
  <w:num w:numId="12" w16cid:durableId="849837249">
    <w:abstractNumId w:val="6"/>
  </w:num>
  <w:num w:numId="13" w16cid:durableId="355738497">
    <w:abstractNumId w:val="8"/>
  </w:num>
  <w:num w:numId="14" w16cid:durableId="1771925111">
    <w:abstractNumId w:val="11"/>
  </w:num>
  <w:num w:numId="15" w16cid:durableId="1101680369">
    <w:abstractNumId w:val="9"/>
  </w:num>
  <w:num w:numId="16" w16cid:durableId="1495101846">
    <w:abstractNumId w:val="16"/>
  </w:num>
  <w:num w:numId="17" w16cid:durableId="902183024">
    <w:abstractNumId w:val="0"/>
  </w:num>
  <w:num w:numId="18" w16cid:durableId="20977346">
    <w:abstractNumId w:val="22"/>
  </w:num>
  <w:num w:numId="19" w16cid:durableId="419104514">
    <w:abstractNumId w:val="5"/>
  </w:num>
  <w:num w:numId="20" w16cid:durableId="735009754">
    <w:abstractNumId w:val="14"/>
  </w:num>
  <w:num w:numId="21" w16cid:durableId="1325471254">
    <w:abstractNumId w:val="20"/>
  </w:num>
  <w:num w:numId="22" w16cid:durableId="8796592">
    <w:abstractNumId w:val="1"/>
  </w:num>
  <w:num w:numId="23" w16cid:durableId="907879212">
    <w:abstractNumId w:val="23"/>
  </w:num>
  <w:num w:numId="24" w16cid:durableId="2098092800">
    <w:abstractNumId w:val="10"/>
  </w:num>
  <w:num w:numId="25" w16cid:durableId="507870242">
    <w:abstractNumId w:val="1"/>
  </w:num>
  <w:num w:numId="26" w16cid:durableId="1754426788">
    <w:abstractNumId w:val="1"/>
  </w:num>
  <w:num w:numId="27" w16cid:durableId="1477650447">
    <w:abstractNumId w:val="19"/>
  </w:num>
  <w:num w:numId="28" w16cid:durableId="163201009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875309326">
    <w:abstractNumId w:val="27"/>
  </w:num>
  <w:num w:numId="30" w16cid:durableId="336732549">
    <w:abstractNumId w:val="3"/>
  </w:num>
  <w:num w:numId="31" w16cid:durableId="1224675887">
    <w:abstractNumId w:val="12"/>
  </w:num>
  <w:num w:numId="32" w16cid:durableId="219754319">
    <w:abstractNumId w:val="18"/>
  </w:num>
  <w:num w:numId="33" w16cid:durableId="1429303591">
    <w:abstractNumId w:val="13"/>
  </w:num>
  <w:num w:numId="34" w16cid:durableId="828441626">
    <w:abstractNumId w:val="7"/>
  </w:num>
  <w:num w:numId="35" w16cid:durableId="2046804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955860672">
    <w:abstractNumId w:val="2"/>
  </w:num>
  <w:num w:numId="37" w16cid:durableId="442194503">
    <w:abstractNumId w:val="4"/>
  </w:num>
  <w:num w:numId="38" w16cid:durableId="1533497201">
    <w:abstractNumId w:val="1"/>
  </w:num>
  <w:num w:numId="39" w16cid:durableId="1184588662">
    <w:abstractNumId w:val="17"/>
  </w:num>
  <w:num w:numId="40" w16cid:durableId="221017584">
    <w:abstractNumId w:val="28"/>
  </w:num>
  <w:num w:numId="41" w16cid:durableId="13881865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6BCF"/>
    <w:rsid w:val="000337BA"/>
    <w:rsid w:val="000E5A52"/>
    <w:rsid w:val="000F6451"/>
    <w:rsid w:val="00160D44"/>
    <w:rsid w:val="001A62A7"/>
    <w:rsid w:val="001B04DE"/>
    <w:rsid w:val="001C5080"/>
    <w:rsid w:val="001C5B9A"/>
    <w:rsid w:val="00215E76"/>
    <w:rsid w:val="00246D95"/>
    <w:rsid w:val="0027686F"/>
    <w:rsid w:val="0028502F"/>
    <w:rsid w:val="002B474A"/>
    <w:rsid w:val="002D542D"/>
    <w:rsid w:val="002F48B1"/>
    <w:rsid w:val="002F7BDD"/>
    <w:rsid w:val="00340232"/>
    <w:rsid w:val="004073B9"/>
    <w:rsid w:val="00426D32"/>
    <w:rsid w:val="004330BE"/>
    <w:rsid w:val="004365BE"/>
    <w:rsid w:val="00454F3D"/>
    <w:rsid w:val="00472D98"/>
    <w:rsid w:val="005026A5"/>
    <w:rsid w:val="00503356"/>
    <w:rsid w:val="00564E44"/>
    <w:rsid w:val="005A3922"/>
    <w:rsid w:val="005C370E"/>
    <w:rsid w:val="00602B93"/>
    <w:rsid w:val="006153C2"/>
    <w:rsid w:val="00626300"/>
    <w:rsid w:val="00634B6A"/>
    <w:rsid w:val="006511A1"/>
    <w:rsid w:val="00665036"/>
    <w:rsid w:val="006F5FDC"/>
    <w:rsid w:val="006F6BCF"/>
    <w:rsid w:val="00755FCE"/>
    <w:rsid w:val="007569B3"/>
    <w:rsid w:val="00766059"/>
    <w:rsid w:val="007B47C7"/>
    <w:rsid w:val="007B4BCC"/>
    <w:rsid w:val="007C59F6"/>
    <w:rsid w:val="007F661B"/>
    <w:rsid w:val="007F7788"/>
    <w:rsid w:val="00831D7E"/>
    <w:rsid w:val="00850F89"/>
    <w:rsid w:val="008D14F0"/>
    <w:rsid w:val="008F0BBE"/>
    <w:rsid w:val="00923026"/>
    <w:rsid w:val="0098024F"/>
    <w:rsid w:val="0098454D"/>
    <w:rsid w:val="0098614C"/>
    <w:rsid w:val="009911CE"/>
    <w:rsid w:val="00991C97"/>
    <w:rsid w:val="00A362F6"/>
    <w:rsid w:val="00A55E65"/>
    <w:rsid w:val="00A579C9"/>
    <w:rsid w:val="00A672AC"/>
    <w:rsid w:val="00A84F86"/>
    <w:rsid w:val="00A97F12"/>
    <w:rsid w:val="00B1414D"/>
    <w:rsid w:val="00B236FE"/>
    <w:rsid w:val="00B569A5"/>
    <w:rsid w:val="00B57C2D"/>
    <w:rsid w:val="00B67EDA"/>
    <w:rsid w:val="00B82D93"/>
    <w:rsid w:val="00BA107F"/>
    <w:rsid w:val="00BE4ACB"/>
    <w:rsid w:val="00C01E15"/>
    <w:rsid w:val="00C06115"/>
    <w:rsid w:val="00C76454"/>
    <w:rsid w:val="00CA768F"/>
    <w:rsid w:val="00CE6ABE"/>
    <w:rsid w:val="00D12C57"/>
    <w:rsid w:val="00D3491B"/>
    <w:rsid w:val="00DA7D64"/>
    <w:rsid w:val="00DE133F"/>
    <w:rsid w:val="00DF29E1"/>
    <w:rsid w:val="00E37C0A"/>
    <w:rsid w:val="00E42421"/>
    <w:rsid w:val="00EE6B8C"/>
    <w:rsid w:val="00F14663"/>
    <w:rsid w:val="00F5457E"/>
    <w:rsid w:val="00F57DA3"/>
    <w:rsid w:val="00F60341"/>
    <w:rsid w:val="00F746C1"/>
    <w:rsid w:val="00F8367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4B19A9"/>
  <w15:docId w15:val="{72AF4058-4E80-4FCE-868F-2E977F4A8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pPr>
      <w:keepNext/>
      <w:spacing w:before="240" w:after="160"/>
      <w:outlineLvl w:val="0"/>
    </w:pPr>
    <w:rPr>
      <w:b/>
      <w:kern w:val="3"/>
      <w:sz w:val="32"/>
    </w:rPr>
  </w:style>
  <w:style w:type="paragraph" w:styleId="Titre2">
    <w:name w:val="heading 2"/>
    <w:basedOn w:val="Normal"/>
    <w:next w:val="Normal"/>
    <w:pPr>
      <w:keepNext/>
      <w:spacing w:before="240" w:after="160"/>
      <w:outlineLvl w:val="1"/>
    </w:pPr>
    <w:rPr>
      <w:sz w:val="28"/>
      <w:u w:val="single"/>
    </w:rPr>
  </w:style>
  <w:style w:type="paragraph" w:styleId="Titre3">
    <w:name w:val="heading 3"/>
    <w:basedOn w:val="Normal"/>
    <w:next w:val="Normal"/>
    <w:pPr>
      <w:keepNext/>
      <w:spacing w:before="240" w:after="160"/>
      <w:outlineLvl w:val="2"/>
    </w:pPr>
    <w:rPr>
      <w:sz w:val="24"/>
      <w:u w:val="single"/>
    </w:rPr>
  </w:style>
  <w:style w:type="paragraph" w:styleId="Titre4">
    <w:name w:val="heading 4"/>
    <w:basedOn w:val="Normal"/>
    <w:next w:val="Normal"/>
    <w:pPr>
      <w:keepNext/>
      <w:spacing w:before="240" w:after="60"/>
      <w:ind w:left="567"/>
      <w:outlineLvl w:val="3"/>
    </w:pPr>
    <w:rPr>
      <w:i/>
      <w:sz w:val="24"/>
    </w:rPr>
  </w:style>
  <w:style w:type="paragraph" w:styleId="Titre5">
    <w:name w:val="heading 5"/>
    <w:basedOn w:val="Normal"/>
    <w:next w:val="Normal"/>
    <w:pPr>
      <w:spacing w:before="240" w:after="60"/>
      <w:ind w:left="1134"/>
      <w:outlineLvl w:val="4"/>
    </w:pPr>
    <w:rPr>
      <w:i/>
    </w:rPr>
  </w:style>
  <w:style w:type="paragraph" w:styleId="Titre6">
    <w:name w:val="heading 6"/>
    <w:basedOn w:val="Normal"/>
    <w:next w:val="Normal"/>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RedaliaTitredocument">
    <w:name w:val="Redalia : Titre document"/>
    <w:basedOn w:val="RedaliaNormal"/>
    <w:pPr>
      <w:jc w:val="center"/>
    </w:pPr>
    <w:rPr>
      <w:b/>
      <w:sz w:val="40"/>
    </w:r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link w:val="RedaliaNormalCar"/>
    <w:qFormat/>
    <w:pPr>
      <w:tabs>
        <w:tab w:val="left" w:leader="dot" w:pos="8505"/>
      </w:tabs>
      <w:spacing w:before="40"/>
      <w:jc w:val="both"/>
    </w:p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14"/>
      </w:numPr>
    </w:pPr>
  </w:style>
  <w:style w:type="paragraph" w:customStyle="1" w:styleId="RdaliaTableau">
    <w:name w:val="Rédalia : Tableau"/>
    <w:basedOn w:val="RedaliaNormal"/>
    <w:pPr>
      <w:numPr>
        <w:numId w:val="15"/>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Redaliapuces">
    <w:name w:val="Redalia : puces"/>
    <w:basedOn w:val="RedaliaNormal"/>
    <w:pPr>
      <w:numPr>
        <w:numId w:val="2"/>
      </w:numPr>
      <w:tabs>
        <w:tab w:val="clear" w:pos="8505"/>
        <w:tab w:val="left" w:pos="510"/>
        <w:tab w:val="left" w:pos="8732"/>
      </w:tabs>
    </w:p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style>
  <w:style w:type="paragraph" w:customStyle="1" w:styleId="RedaliaCentr">
    <w:name w:val="Redalia : Centré"/>
    <w:basedOn w:val="RedaliaNormal"/>
    <w:next w:val="RedaliaNormal"/>
    <w:pPr>
      <w:jc w:val="center"/>
    </w:pPr>
  </w:style>
  <w:style w:type="paragraph" w:styleId="En-tte">
    <w:name w:val="header"/>
    <w:basedOn w:val="Normal"/>
    <w:pPr>
      <w:tabs>
        <w:tab w:val="center" w:pos="4536"/>
        <w:tab w:val="right" w:pos="9072"/>
      </w:tabs>
    </w:pPr>
  </w:style>
  <w:style w:type="paragraph" w:styleId="Pieddepage">
    <w:name w:val="footer"/>
    <w:basedOn w:val="Normal"/>
    <w:uiPriority w:val="99"/>
    <w:pPr>
      <w:tabs>
        <w:tab w:val="center" w:pos="4536"/>
        <w:tab w:val="right" w:pos="9072"/>
      </w:tabs>
    </w:pPr>
  </w:style>
  <w:style w:type="paragraph" w:styleId="TM6">
    <w:name w:val="toc 6"/>
    <w:basedOn w:val="Normal"/>
    <w:next w:val="Normal"/>
    <w:autoRedefine/>
    <w:pPr>
      <w:ind w:left="960"/>
    </w:pPr>
  </w:style>
  <w:style w:type="paragraph" w:styleId="TM7">
    <w:name w:val="toc 7"/>
    <w:basedOn w:val="Normal"/>
    <w:next w:val="Normal"/>
    <w:autoRedefine/>
    <w:pPr>
      <w:ind w:left="1200"/>
    </w:pPr>
  </w:style>
  <w:style w:type="paragraph" w:styleId="TM8">
    <w:name w:val="toc 8"/>
    <w:basedOn w:val="Normal"/>
    <w:next w:val="Normal"/>
    <w:autoRedefine/>
    <w:pPr>
      <w:ind w:left="1440"/>
    </w:pPr>
  </w:style>
  <w:style w:type="paragraph" w:styleId="TM9">
    <w:name w:val="toc 9"/>
    <w:basedOn w:val="Normal"/>
    <w:next w:val="Normal"/>
    <w:autoRedefine/>
    <w:pPr>
      <w:ind w:left="1680"/>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customStyle="1" w:styleId="RedaliaSoustitredocument">
    <w:name w:val="Redalia : Sous titre document"/>
    <w:basedOn w:val="RedaliaNormal"/>
    <w:next w:val="RedaliaNormal"/>
    <w:pPr>
      <w:jc w:val="center"/>
    </w:pPr>
    <w:rPr>
      <w:sz w:val="28"/>
    </w:rPr>
  </w:style>
  <w:style w:type="paragraph" w:customStyle="1" w:styleId="AvecPuce">
    <w:name w:val="Avec Puce"/>
    <w:basedOn w:val="Normal"/>
    <w:pPr>
      <w:numPr>
        <w:numId w:val="9"/>
      </w:numPr>
      <w:tabs>
        <w:tab w:val="left" w:pos="2880"/>
      </w:tabs>
      <w:spacing w:after="120"/>
    </w:pPr>
  </w:style>
  <w:style w:type="paragraph" w:customStyle="1" w:styleId="Chapitre">
    <w:name w:val="Chapitre"/>
    <w:basedOn w:val="Normal"/>
    <w:pPr>
      <w:numPr>
        <w:numId w:val="10"/>
      </w:numPr>
      <w:tabs>
        <w:tab w:val="left" w:pos="720"/>
      </w:tabs>
      <w:spacing w:before="240" w:after="240"/>
    </w:pPr>
    <w:rPr>
      <w:rFonts w:ascii="Arial Narrow" w:eastAsia="Arial Narrow" w:hAnsi="Arial Narrow" w:cs="Arial Narrow"/>
      <w:color w:val="003366"/>
      <w:sz w:val="36"/>
      <w:szCs w:val="36"/>
    </w:rPr>
  </w:style>
  <w:style w:type="paragraph" w:customStyle="1" w:styleId="Chapitre2">
    <w:name w:val="Chapitre 2"/>
    <w:basedOn w:val="Chapitre"/>
    <w:pPr>
      <w:pBdr>
        <w:top w:val="single" w:sz="12" w:space="1" w:color="003366"/>
        <w:left w:val="single" w:sz="12" w:space="4" w:color="003366"/>
        <w:bottom w:val="single" w:sz="12" w:space="1" w:color="003366"/>
        <w:right w:val="single" w:sz="12" w:space="4" w:color="003366"/>
      </w:pBdr>
      <w:shd w:val="clear" w:color="auto" w:fill="E0E0E0"/>
      <w:tabs>
        <w:tab w:val="clear" w:pos="720"/>
      </w:tabs>
      <w:spacing w:before="360" w:after="0"/>
      <w:ind w:left="567" w:firstLine="0"/>
    </w:pPr>
    <w:rPr>
      <w:rFonts w:ascii="Tahoma" w:eastAsia="Tahoma" w:hAnsi="Tahoma" w:cs="Tahoma"/>
      <w:b/>
      <w:bCs/>
      <w:sz w:val="24"/>
      <w:szCs w:val="24"/>
    </w:rPr>
  </w:style>
  <w:style w:type="paragraph" w:styleId="Commentaire">
    <w:name w:val="annotation text"/>
    <w:basedOn w:val="Normal"/>
    <w:link w:val="CommentaireCar1"/>
  </w:style>
  <w:style w:type="paragraph" w:styleId="Corpsdetexte">
    <w:name w:val="Body Text"/>
    <w:basedOn w:val="Normal"/>
  </w:style>
  <w:style w:type="paragraph" w:styleId="Corpsdetexte2">
    <w:name w:val="Body Text 2"/>
    <w:basedOn w:val="Normal"/>
    <w:pPr>
      <w:jc w:val="center"/>
    </w:pPr>
    <w:rPr>
      <w:sz w:val="16"/>
      <w:szCs w:val="16"/>
    </w:rPr>
  </w:style>
  <w:style w:type="paragraph" w:styleId="Corpsdetexte3">
    <w:name w:val="Body Text 3"/>
    <w:basedOn w:val="Normal"/>
    <w:rPr>
      <w:i/>
      <w:iCs/>
    </w:rPr>
  </w:style>
  <w:style w:type="paragraph" w:customStyle="1" w:styleId="Elmentrecens">
    <w:name w:val="Elément recensé"/>
    <w:basedOn w:val="Normal"/>
    <w:pPr>
      <w:numPr>
        <w:numId w:val="11"/>
      </w:numPr>
      <w:tabs>
        <w:tab w:val="left" w:pos="644"/>
      </w:tabs>
    </w:pPr>
  </w:style>
  <w:style w:type="paragraph" w:styleId="NormalWeb">
    <w:name w:val="Normal (Web)"/>
    <w:basedOn w:val="Normal"/>
    <w:pPr>
      <w:spacing w:before="100" w:after="100"/>
    </w:pPr>
  </w:style>
  <w:style w:type="paragraph" w:styleId="Retraitcorpsdetexte">
    <w:name w:val="Body Text Indent"/>
    <w:basedOn w:val="Normal"/>
    <w:pPr>
      <w:ind w:left="540"/>
    </w:pPr>
  </w:style>
  <w:style w:type="paragraph" w:customStyle="1" w:styleId="StyleAvecPuceGras">
    <w:name w:val="Style Avec Puce + Gras"/>
    <w:basedOn w:val="AvecPuce"/>
    <w:rPr>
      <w:b/>
      <w:bCs/>
    </w:rPr>
  </w:style>
  <w:style w:type="paragraph" w:styleId="Textedebulles">
    <w:name w:val="Balloon Text"/>
    <w:basedOn w:val="Normal"/>
    <w:rPr>
      <w:rFonts w:ascii="Tahoma" w:eastAsia="Tahoma" w:hAnsi="Tahoma" w:cs="Tahoma"/>
      <w:sz w:val="16"/>
      <w:szCs w:val="16"/>
    </w:rPr>
  </w:style>
  <w:style w:type="paragraph" w:styleId="Titre">
    <w:name w:val="Title"/>
    <w:basedOn w:val="Normal"/>
    <w:pPr>
      <w:jc w:val="center"/>
    </w:pPr>
    <w:rPr>
      <w:rFonts w:ascii="Tahoma" w:eastAsia="Tahoma" w:hAnsi="Tahoma" w:cs="Tahoma"/>
      <w:b/>
      <w:bCs/>
      <w:sz w:val="28"/>
      <w:szCs w:val="28"/>
    </w:rPr>
  </w:style>
  <w:style w:type="paragraph" w:customStyle="1" w:styleId="xl24">
    <w:name w:val="xl24"/>
    <w:basedOn w:val="Normal"/>
    <w:pPr>
      <w:pBdr>
        <w:top w:val="single" w:sz="4" w:space="0" w:color="000000"/>
        <w:left w:val="single" w:sz="4" w:space="0" w:color="000000"/>
        <w:bottom w:val="single" w:sz="4" w:space="0" w:color="000000"/>
        <w:right w:val="single" w:sz="4" w:space="0" w:color="000000"/>
      </w:pBdr>
      <w:spacing w:before="100" w:after="100"/>
      <w:textAlignment w:val="top"/>
    </w:pPr>
    <w:rPr>
      <w:sz w:val="12"/>
      <w:szCs w:val="12"/>
    </w:rPr>
  </w:style>
  <w:style w:type="paragraph" w:customStyle="1" w:styleId="xl25">
    <w:name w:val="xl25"/>
    <w:basedOn w:val="Normal"/>
    <w:pPr>
      <w:spacing w:before="100" w:after="100"/>
    </w:pPr>
    <w:rPr>
      <w:sz w:val="12"/>
      <w:szCs w:val="12"/>
    </w:rPr>
  </w:style>
  <w:style w:type="paragraph" w:customStyle="1" w:styleId="xl26">
    <w:name w:val="xl26"/>
    <w:basedOn w:val="Normal"/>
    <w:pPr>
      <w:pBdr>
        <w:top w:val="single" w:sz="4" w:space="0" w:color="000000"/>
        <w:left w:val="single" w:sz="4" w:space="0" w:color="000000"/>
        <w:bottom w:val="single" w:sz="4" w:space="0" w:color="000000"/>
        <w:right w:val="single" w:sz="4" w:space="0" w:color="000000"/>
      </w:pBdr>
      <w:spacing w:before="100" w:after="100"/>
    </w:pPr>
    <w:rPr>
      <w:sz w:val="12"/>
      <w:szCs w:val="12"/>
    </w:rPr>
  </w:style>
  <w:style w:type="paragraph" w:customStyle="1" w:styleId="xl27">
    <w:name w:val="xl27"/>
    <w:basedOn w:val="Normal"/>
    <w:pPr>
      <w:pBdr>
        <w:top w:val="single" w:sz="4" w:space="0" w:color="000000"/>
        <w:left w:val="single" w:sz="4" w:space="0" w:color="000000"/>
        <w:bottom w:val="single" w:sz="4" w:space="0" w:color="000000"/>
        <w:right w:val="single" w:sz="4" w:space="0" w:color="000000"/>
      </w:pBdr>
      <w:spacing w:before="100" w:after="100"/>
      <w:textAlignment w:val="top"/>
    </w:pPr>
    <w:rPr>
      <w:b/>
      <w:bCs/>
      <w:sz w:val="12"/>
      <w:szCs w:val="12"/>
    </w:rPr>
  </w:style>
  <w:style w:type="paragraph" w:customStyle="1" w:styleId="xl28">
    <w:name w:val="xl28"/>
    <w:basedOn w:val="Normal"/>
    <w:pPr>
      <w:pBdr>
        <w:top w:val="single" w:sz="4" w:space="0" w:color="000000"/>
        <w:left w:val="single" w:sz="4" w:space="0" w:color="000000"/>
        <w:bottom w:val="single" w:sz="4" w:space="0" w:color="000000"/>
        <w:right w:val="single" w:sz="4" w:space="0" w:color="000000"/>
      </w:pBdr>
      <w:shd w:val="clear" w:color="auto" w:fill="00CCFF"/>
      <w:spacing w:before="100" w:after="100"/>
      <w:jc w:val="center"/>
    </w:pPr>
    <w:rPr>
      <w:sz w:val="12"/>
      <w:szCs w:val="12"/>
    </w:rPr>
  </w:style>
  <w:style w:type="paragraph" w:customStyle="1" w:styleId="xl29">
    <w:name w:val="xl29"/>
    <w:basedOn w:val="Normal"/>
    <w:pPr>
      <w:pBdr>
        <w:top w:val="single" w:sz="4" w:space="0" w:color="000000"/>
        <w:left w:val="single" w:sz="4" w:space="0" w:color="000000"/>
        <w:bottom w:val="single" w:sz="4" w:space="0" w:color="000000"/>
        <w:right w:val="single" w:sz="4" w:space="0" w:color="000000"/>
      </w:pBdr>
      <w:shd w:val="clear" w:color="auto" w:fill="00CCFF"/>
      <w:spacing w:before="100" w:after="100"/>
      <w:jc w:val="center"/>
      <w:textAlignment w:val="center"/>
    </w:pPr>
    <w:rPr>
      <w:sz w:val="12"/>
      <w:szCs w:val="12"/>
    </w:rPr>
  </w:style>
  <w:style w:type="paragraph" w:customStyle="1" w:styleId="xl30">
    <w:name w:val="xl30"/>
    <w:basedOn w:val="Normal"/>
    <w:pPr>
      <w:pBdr>
        <w:top w:val="single" w:sz="4" w:space="0" w:color="000000"/>
        <w:left w:val="single" w:sz="4" w:space="0" w:color="000000"/>
        <w:bottom w:val="single" w:sz="4" w:space="0" w:color="000000"/>
        <w:right w:val="single" w:sz="4" w:space="0" w:color="000000"/>
      </w:pBdr>
      <w:shd w:val="clear" w:color="auto" w:fill="CCFFCC"/>
      <w:spacing w:before="100" w:after="100"/>
    </w:pPr>
    <w:rPr>
      <w:sz w:val="12"/>
      <w:szCs w:val="12"/>
    </w:rPr>
  </w:style>
  <w:style w:type="paragraph" w:customStyle="1" w:styleId="xl31">
    <w:name w:val="xl31"/>
    <w:basedOn w:val="Normal"/>
    <w:pPr>
      <w:pBdr>
        <w:top w:val="single" w:sz="4" w:space="0" w:color="000000"/>
        <w:left w:val="single" w:sz="4" w:space="0" w:color="000000"/>
        <w:bottom w:val="single" w:sz="4" w:space="0" w:color="000000"/>
        <w:right w:val="single" w:sz="4" w:space="0" w:color="000000"/>
      </w:pBdr>
      <w:spacing w:before="100" w:after="100"/>
    </w:pPr>
    <w:rPr>
      <w:sz w:val="12"/>
      <w:szCs w:val="12"/>
    </w:rPr>
  </w:style>
  <w:style w:type="paragraph" w:customStyle="1" w:styleId="xl32">
    <w:name w:val="xl32"/>
    <w:basedOn w:val="Normal"/>
    <w:pPr>
      <w:pBdr>
        <w:top w:val="single" w:sz="4" w:space="0" w:color="000000"/>
        <w:left w:val="single" w:sz="4" w:space="0" w:color="000000"/>
        <w:bottom w:val="single" w:sz="4" w:space="0" w:color="000000"/>
        <w:right w:val="single" w:sz="4" w:space="0" w:color="000000"/>
      </w:pBdr>
      <w:shd w:val="clear" w:color="auto" w:fill="CCFFFF"/>
      <w:spacing w:before="100" w:after="100"/>
    </w:pPr>
    <w:rPr>
      <w:sz w:val="12"/>
      <w:szCs w:val="12"/>
    </w:rPr>
  </w:style>
  <w:style w:type="paragraph" w:customStyle="1" w:styleId="xl33">
    <w:name w:val="xl33"/>
    <w:basedOn w:val="Normal"/>
    <w:pPr>
      <w:pBdr>
        <w:top w:val="single" w:sz="4" w:space="0" w:color="000000"/>
        <w:left w:val="single" w:sz="4" w:space="0" w:color="000000"/>
        <w:bottom w:val="single" w:sz="4" w:space="0" w:color="000000"/>
        <w:right w:val="single" w:sz="4" w:space="0" w:color="000000"/>
      </w:pBdr>
      <w:shd w:val="clear" w:color="auto" w:fill="FFFF00"/>
      <w:spacing w:before="100" w:after="100"/>
    </w:pPr>
    <w:rPr>
      <w:b/>
      <w:bCs/>
      <w:sz w:val="12"/>
      <w:szCs w:val="12"/>
    </w:rPr>
  </w:style>
  <w:style w:type="paragraph" w:customStyle="1" w:styleId="xl34">
    <w:name w:val="xl34"/>
    <w:basedOn w:val="Normal"/>
    <w:pPr>
      <w:spacing w:before="100" w:after="100"/>
      <w:textAlignment w:val="top"/>
    </w:pPr>
    <w:rPr>
      <w:sz w:val="12"/>
      <w:szCs w:val="12"/>
    </w:rPr>
  </w:style>
  <w:style w:type="paragraph" w:customStyle="1" w:styleId="xl35">
    <w:name w:val="xl35"/>
    <w:basedOn w:val="Normal"/>
    <w:pPr>
      <w:spacing w:before="100" w:after="100"/>
    </w:pPr>
    <w:rPr>
      <w:sz w:val="12"/>
      <w:szCs w:val="12"/>
    </w:rPr>
  </w:style>
  <w:style w:type="paragraph" w:customStyle="1" w:styleId="xl36">
    <w:name w:val="xl36"/>
    <w:basedOn w:val="Normal"/>
    <w:pPr>
      <w:shd w:val="clear" w:color="auto" w:fill="00CCFF"/>
      <w:spacing w:before="100" w:after="100"/>
      <w:jc w:val="center"/>
    </w:pPr>
    <w:rPr>
      <w:b/>
      <w:bCs/>
      <w:sz w:val="12"/>
      <w:szCs w:val="12"/>
    </w:rPr>
  </w:style>
  <w:style w:type="paragraph" w:customStyle="1" w:styleId="xl37">
    <w:name w:val="xl37"/>
    <w:basedOn w:val="Normal"/>
    <w:pPr>
      <w:shd w:val="clear" w:color="auto" w:fill="00CCFF"/>
      <w:spacing w:before="100" w:after="100"/>
      <w:jc w:val="center"/>
    </w:pPr>
    <w:rPr>
      <w:b/>
      <w:bCs/>
      <w:sz w:val="12"/>
      <w:szCs w:val="12"/>
    </w:rPr>
  </w:style>
  <w:style w:type="paragraph" w:customStyle="1" w:styleId="adresse">
    <w:name w:val="adresse"/>
    <w:basedOn w:val="Normal"/>
    <w:pPr>
      <w:overflowPunct w:val="0"/>
      <w:autoSpaceDE w:val="0"/>
    </w:pPr>
    <w:rPr>
      <w:color w:val="000000"/>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Erreur">
    <w:name w:val="LIA : Erreur"/>
    <w:basedOn w:val="LIANormal"/>
    <w:pPr>
      <w:jc w:val="center"/>
    </w:pPr>
    <w:rPr>
      <w:b/>
      <w:bCs/>
      <w:i/>
      <w:iCs/>
      <w:sz w:val="24"/>
      <w:szCs w:val="24"/>
    </w:rPr>
  </w:style>
  <w:style w:type="paragraph" w:customStyle="1" w:styleId="LIARetrait">
    <w:name w:val="LIA : Retrait"/>
    <w:basedOn w:val="LIANormal"/>
    <w:pPr>
      <w:ind w:firstLine="709"/>
    </w:pPr>
    <w:rPr>
      <w:sz w:val="20"/>
      <w:szCs w:val="20"/>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TOTAL">
    <w:name w:val="LIA : TOTAL"/>
    <w:basedOn w:val="Normal"/>
    <w:pPr>
      <w:jc w:val="right"/>
    </w:pPr>
    <w:rPr>
      <w:b/>
      <w:bCs/>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7"/>
      </w:numPr>
      <w:tabs>
        <w:tab w:val="left" w:pos="-153"/>
      </w:tabs>
      <w:spacing w:before="120" w:after="120"/>
      <w:ind w:left="284" w:hanging="114"/>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6"/>
      </w:numPr>
      <w:tabs>
        <w:tab w:val="left" w:pos="207"/>
      </w:tabs>
      <w:spacing w:before="120" w:after="120"/>
      <w:jc w:val="both"/>
    </w:pPr>
    <w:rPr>
      <w:rFonts w:cs="Calibri"/>
      <w:b/>
      <w:bCs/>
      <w:sz w:val="24"/>
      <w:szCs w:val="28"/>
    </w:rPr>
  </w:style>
  <w:style w:type="paragraph" w:customStyle="1" w:styleId="redalianormal0">
    <w:name w:val="redalianormal"/>
    <w:basedOn w:val="Normal"/>
    <w:pPr>
      <w:spacing w:before="100" w:after="100"/>
    </w:pPr>
    <w:rPr>
      <w:rFonts w:ascii="Times New Roman" w:eastAsia="Times New Roman" w:hAnsi="Times New Roman" w:cs="Times New Roman"/>
      <w:sz w:val="24"/>
      <w:szCs w:val="24"/>
    </w:rPr>
  </w:style>
  <w:style w:type="paragraph" w:styleId="Sansinterligne">
    <w:name w:val="No Spacing"/>
    <w:pPr>
      <w:suppressAutoHyphens/>
    </w:pPr>
    <w:rPr>
      <w:rFonts w:ascii="Arial" w:eastAsia="Arial" w:hAnsi="Arial" w:cs="Arial"/>
      <w:sz w:val="22"/>
      <w:szCs w:val="22"/>
      <w:lang w:eastAsia="en-US"/>
    </w:rPr>
  </w:style>
  <w:style w:type="paragraph" w:styleId="Paragraphedeliste">
    <w:name w:val="List Paragraph"/>
    <w:aliases w:val="Liste à puce niveau 1,Paragraphe de liste (sdt),Indent Paragraph,Lettre d'introduction,Paragraphe de liste PBLH,Bullet Points,Liste Paragraf,Llista Nivell1,Lista de nivel 1,Graph &amp; Table tite,Paragraph,List numbered,List Paragraph1,l"/>
    <w:basedOn w:val="Normal"/>
    <w:link w:val="ParagraphedelisteCar"/>
    <w:uiPriority w:val="34"/>
    <w:qFormat/>
    <w:pPr>
      <w:ind w:left="720"/>
    </w:p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Calibri Light" w:eastAsia="Calibri Light" w:hAnsi="Calibri Light" w:cs="Calibri Light"/>
      <w:i/>
      <w:color w:val="404040"/>
      <w:sz w:val="22"/>
      <w:lang w:eastAsia="en-US"/>
    </w:rPr>
  </w:style>
  <w:style w:type="character" w:customStyle="1" w:styleId="Titre8Car">
    <w:name w:val="Titre 8 Car"/>
    <w:rPr>
      <w:rFonts w:ascii="Calibri Light" w:eastAsia="Calibri Light" w:hAnsi="Calibri Light" w:cs="Calibri Light"/>
      <w:color w:val="404040"/>
      <w:lang w:eastAsia="en-US"/>
    </w:rPr>
  </w:style>
  <w:style w:type="character" w:customStyle="1" w:styleId="Titre9Car">
    <w:name w:val="Titre 9 Car"/>
    <w:rPr>
      <w:rFonts w:ascii="Calibri Light" w:eastAsia="Calibri Light" w:hAnsi="Calibri Light" w:cs="Calibri Light"/>
      <w:i/>
      <w:color w:val="404040"/>
      <w:lang w:eastAsia="en-US"/>
    </w:rPr>
  </w:style>
  <w:style w:type="character" w:customStyle="1" w:styleId="En-tteCar">
    <w:name w:val="En-tête Car"/>
    <w:rPr>
      <w:rFonts w:ascii="Arial" w:eastAsia="Arial" w:hAnsi="Arial" w:cs="Arial"/>
      <w:sz w:val="22"/>
    </w:rPr>
  </w:style>
  <w:style w:type="character" w:customStyle="1" w:styleId="PieddepageCar">
    <w:name w:val="Pied de page Car"/>
    <w:uiPriority w:val="99"/>
    <w:rPr>
      <w:rFonts w:ascii="Arial" w:eastAsia="Arial" w:hAnsi="Arial" w:cs="Arial"/>
      <w:sz w:val="22"/>
    </w:rPr>
  </w:style>
  <w:style w:type="character" w:styleId="Numrodepage">
    <w:name w:val="page number"/>
    <w:rPr>
      <w:rFonts w:ascii="Times New Roman" w:eastAsia="Times New Roman" w:hAnsi="Times New Roman" w:cs="Times New Roman"/>
    </w:rPr>
  </w:style>
  <w:style w:type="character" w:styleId="Lienhypertexte">
    <w:name w:val="Hyperlink"/>
    <w:uiPriority w:val="99"/>
    <w:rPr>
      <w:color w:val="003366"/>
      <w:u w:val="none"/>
    </w:rPr>
  </w:style>
  <w:style w:type="character" w:customStyle="1" w:styleId="AvecPuceCar">
    <w:name w:val="Avec Puce Car"/>
    <w:rPr>
      <w:sz w:val="24"/>
      <w:lang w:val="fr-FR" w:eastAsia="fr-FR"/>
    </w:rPr>
  </w:style>
  <w:style w:type="character" w:customStyle="1" w:styleId="CommentaireCar">
    <w:name w:val="Commentaire Car"/>
    <w:rPr>
      <w:sz w:val="20"/>
    </w:rPr>
  </w:style>
  <w:style w:type="character" w:customStyle="1" w:styleId="CorpsdetexteCar">
    <w:name w:val="Corps de texte Car"/>
    <w:rPr>
      <w:sz w:val="20"/>
    </w:rPr>
  </w:style>
  <w:style w:type="character" w:customStyle="1" w:styleId="Corpsdetexte2Car">
    <w:name w:val="Corps de texte 2 Car"/>
    <w:rPr>
      <w:sz w:val="20"/>
    </w:rPr>
  </w:style>
  <w:style w:type="character" w:customStyle="1" w:styleId="Corpsdetexte3Car">
    <w:name w:val="Corps de texte 3 Car"/>
    <w:rPr>
      <w:sz w:val="16"/>
    </w:rPr>
  </w:style>
  <w:style w:type="character" w:styleId="Lienhypertextesuivivisit">
    <w:name w:val="FollowedHyperlink"/>
    <w:rPr>
      <w:color w:val="800080"/>
      <w:u w:val="single"/>
    </w:rPr>
  </w:style>
  <w:style w:type="character" w:styleId="Marquedecommentaire">
    <w:name w:val="annotation reference"/>
    <w:rPr>
      <w:sz w:val="16"/>
    </w:rPr>
  </w:style>
  <w:style w:type="character" w:customStyle="1" w:styleId="RetraitcorpsdetexteCar">
    <w:name w:val="Retrait corps de texte Car"/>
    <w:rPr>
      <w:sz w:val="20"/>
    </w:rPr>
  </w:style>
  <w:style w:type="character" w:customStyle="1" w:styleId="StyleAvecPuceGrasCar">
    <w:name w:val="Style Avec Puce + Gras Car"/>
    <w:rPr>
      <w:b/>
      <w:sz w:val="24"/>
      <w:lang w:val="fr-FR" w:eastAsia="fr-FR"/>
    </w:rPr>
  </w:style>
  <w:style w:type="character" w:customStyle="1" w:styleId="TextedebullesCar">
    <w:name w:val="Texte de bulles Car"/>
    <w:rPr>
      <w:rFonts w:ascii="Tahoma" w:eastAsia="Tahoma" w:hAnsi="Tahoma" w:cs="Tahoma"/>
      <w:sz w:val="16"/>
    </w:rPr>
  </w:style>
  <w:style w:type="character" w:customStyle="1" w:styleId="TitreCar">
    <w:name w:val="Titre Car"/>
    <w:rPr>
      <w:rFonts w:ascii="Cambria" w:eastAsia="Cambria" w:hAnsi="Cambria" w:cs="Cambria"/>
      <w:b/>
      <w:kern w:val="3"/>
      <w:sz w:val="32"/>
    </w:rPr>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customStyle="1" w:styleId="EmailStyle175">
    <w:name w:val="EmailStyle175"/>
    <w:rPr>
      <w:rFonts w:ascii="Century Gothic" w:eastAsia="Century Gothic" w:hAnsi="Century Gothic" w:cs="Century Gothic"/>
      <w:color w:val="auto"/>
      <w:sz w:val="20"/>
    </w:rPr>
  </w:style>
  <w:style w:type="character" w:customStyle="1" w:styleId="EmailStyle176">
    <w:name w:val="EmailStyle176"/>
    <w:rPr>
      <w:rFonts w:ascii="Arial" w:eastAsia="Arial" w:hAnsi="Arial" w:cs="Arial"/>
      <w:color w:val="auto"/>
      <w:sz w:val="16"/>
    </w:rPr>
  </w:style>
  <w:style w:type="character" w:customStyle="1" w:styleId="EmailStyle177">
    <w:name w:val="EmailStyle177"/>
    <w:rPr>
      <w:rFonts w:ascii="Century Gothic" w:eastAsia="Century Gothic" w:hAnsi="Century Gothic" w:cs="Century Gothic"/>
      <w:color w:val="auto"/>
      <w:sz w:val="20"/>
    </w:rPr>
  </w:style>
  <w:style w:type="character" w:customStyle="1" w:styleId="EmailStyle178">
    <w:name w:val="EmailStyle178"/>
    <w:rPr>
      <w:rFonts w:ascii="Arial" w:eastAsia="Arial" w:hAnsi="Arial" w:cs="Arial"/>
      <w:color w:val="auto"/>
      <w:sz w:val="16"/>
    </w:rPr>
  </w:style>
  <w:style w:type="character" w:customStyle="1" w:styleId="EmailStyle179">
    <w:name w:val="EmailStyle179"/>
    <w:rPr>
      <w:rFonts w:ascii="Century Gothic" w:eastAsia="Century Gothic" w:hAnsi="Century Gothic" w:cs="Century Gothic"/>
      <w:color w:val="auto"/>
      <w:sz w:val="20"/>
    </w:rPr>
  </w:style>
  <w:style w:type="character" w:customStyle="1" w:styleId="EmailStyle180">
    <w:name w:val="EmailStyle180"/>
    <w:rPr>
      <w:rFonts w:ascii="Arial" w:eastAsia="Arial" w:hAnsi="Arial" w:cs="Arial"/>
      <w:color w:val="auto"/>
      <w:sz w:val="16"/>
    </w:rPr>
  </w:style>
  <w:style w:type="character" w:customStyle="1" w:styleId="EmailStyle181">
    <w:name w:val="EmailStyle181"/>
    <w:rPr>
      <w:rFonts w:ascii="Century Gothic" w:eastAsia="Century Gothic" w:hAnsi="Century Gothic" w:cs="Century Gothic"/>
      <w:color w:val="auto"/>
      <w:sz w:val="20"/>
    </w:rPr>
  </w:style>
  <w:style w:type="character" w:customStyle="1" w:styleId="EmailStyle182">
    <w:name w:val="EmailStyle182"/>
    <w:rPr>
      <w:rFonts w:ascii="Arial" w:eastAsia="Arial" w:hAnsi="Arial" w:cs="Arial"/>
      <w:color w:val="auto"/>
      <w:sz w:val="16"/>
    </w:rPr>
  </w:style>
  <w:style w:type="character" w:customStyle="1" w:styleId="EmailStyle183">
    <w:name w:val="EmailStyle183"/>
    <w:rPr>
      <w:rFonts w:ascii="Century Gothic" w:eastAsia="Century Gothic" w:hAnsi="Century Gothic" w:cs="Century Gothic"/>
      <w:color w:val="auto"/>
      <w:sz w:val="20"/>
    </w:rPr>
  </w:style>
  <w:style w:type="character" w:customStyle="1" w:styleId="EmailStyle184">
    <w:name w:val="EmailStyle184"/>
    <w:rPr>
      <w:rFonts w:ascii="Arial" w:eastAsia="Arial" w:hAnsi="Arial" w:cs="Arial"/>
      <w:color w:val="auto"/>
      <w:sz w:val="16"/>
    </w:rPr>
  </w:style>
  <w:style w:type="character" w:customStyle="1" w:styleId="EmailStyle185">
    <w:name w:val="EmailStyle185"/>
    <w:rPr>
      <w:rFonts w:ascii="Century Gothic" w:eastAsia="Century Gothic" w:hAnsi="Century Gothic" w:cs="Century Gothic"/>
      <w:color w:val="auto"/>
      <w:sz w:val="20"/>
    </w:rPr>
  </w:style>
  <w:style w:type="character" w:customStyle="1" w:styleId="EmailStyle186">
    <w:name w:val="EmailStyle186"/>
    <w:rPr>
      <w:rFonts w:ascii="Arial" w:eastAsia="Arial" w:hAnsi="Arial" w:cs="Arial"/>
      <w:color w:val="auto"/>
      <w:sz w:val="16"/>
    </w:rPr>
  </w:style>
  <w:style w:type="character" w:customStyle="1" w:styleId="EmailStyle187">
    <w:name w:val="EmailStyle187"/>
    <w:rPr>
      <w:rFonts w:ascii="Century Gothic" w:eastAsia="Century Gothic" w:hAnsi="Century Gothic" w:cs="Century Gothic"/>
      <w:color w:val="auto"/>
      <w:sz w:val="20"/>
    </w:rPr>
  </w:style>
  <w:style w:type="character" w:customStyle="1" w:styleId="EmailStyle188">
    <w:name w:val="EmailStyle188"/>
    <w:rPr>
      <w:rFonts w:ascii="Arial" w:eastAsia="Arial" w:hAnsi="Arial" w:cs="Arial"/>
      <w:color w:val="auto"/>
      <w:sz w:val="16"/>
    </w:rPr>
  </w:style>
  <w:style w:type="character" w:customStyle="1" w:styleId="EmailStyle189">
    <w:name w:val="EmailStyle189"/>
    <w:rPr>
      <w:rFonts w:ascii="Century Gothic" w:eastAsia="Century Gothic" w:hAnsi="Century Gothic" w:cs="Century Gothic"/>
      <w:color w:val="auto"/>
      <w:sz w:val="20"/>
    </w:rPr>
  </w:style>
  <w:style w:type="character" w:customStyle="1" w:styleId="EmailStyle190">
    <w:name w:val="EmailStyle190"/>
    <w:rPr>
      <w:rFonts w:ascii="Arial" w:eastAsia="Arial" w:hAnsi="Arial" w:cs="Arial"/>
      <w:color w:val="auto"/>
      <w:sz w:val="16"/>
    </w:rPr>
  </w:style>
  <w:style w:type="character" w:customStyle="1" w:styleId="EmailStyle191">
    <w:name w:val="EmailStyle191"/>
    <w:rPr>
      <w:rFonts w:ascii="Century Gothic" w:eastAsia="Century Gothic" w:hAnsi="Century Gothic" w:cs="Century Gothic"/>
      <w:color w:val="auto"/>
      <w:sz w:val="20"/>
    </w:rPr>
  </w:style>
  <w:style w:type="character" w:customStyle="1" w:styleId="EmailStyle192">
    <w:name w:val="EmailStyle192"/>
    <w:rPr>
      <w:rFonts w:ascii="Arial" w:eastAsia="Arial" w:hAnsi="Arial" w:cs="Arial"/>
      <w:color w:val="auto"/>
      <w:sz w:val="16"/>
    </w:rPr>
  </w:style>
  <w:style w:type="character" w:customStyle="1" w:styleId="EmailStyle193">
    <w:name w:val="EmailStyle193"/>
    <w:rPr>
      <w:rFonts w:ascii="Century Gothic" w:eastAsia="Century Gothic" w:hAnsi="Century Gothic" w:cs="Century Gothic"/>
      <w:color w:val="auto"/>
      <w:sz w:val="20"/>
    </w:rPr>
  </w:style>
  <w:style w:type="character" w:customStyle="1" w:styleId="EmailStyle194">
    <w:name w:val="EmailStyle194"/>
    <w:rPr>
      <w:rFonts w:ascii="Arial" w:eastAsia="Arial" w:hAnsi="Arial" w:cs="Arial"/>
      <w:color w:val="auto"/>
      <w:sz w:val="16"/>
    </w:rPr>
  </w:style>
  <w:style w:type="character" w:customStyle="1" w:styleId="EmailStyle195">
    <w:name w:val="EmailStyle195"/>
    <w:rPr>
      <w:rFonts w:ascii="Century Gothic" w:eastAsia="Century Gothic" w:hAnsi="Century Gothic" w:cs="Century Gothic"/>
      <w:color w:val="auto"/>
      <w:sz w:val="20"/>
    </w:rPr>
  </w:style>
  <w:style w:type="character" w:customStyle="1" w:styleId="EmailStyle196">
    <w:name w:val="EmailStyle196"/>
    <w:rPr>
      <w:rFonts w:ascii="Arial" w:eastAsia="Arial" w:hAnsi="Arial" w:cs="Arial"/>
      <w:color w:val="auto"/>
      <w:sz w:val="16"/>
    </w:rPr>
  </w:style>
  <w:style w:type="character" w:customStyle="1" w:styleId="EmailStyle197">
    <w:name w:val="EmailStyle197"/>
    <w:rPr>
      <w:rFonts w:ascii="Century Gothic" w:eastAsia="Century Gothic" w:hAnsi="Century Gothic" w:cs="Century Gothic"/>
      <w:color w:val="auto"/>
      <w:sz w:val="20"/>
    </w:rPr>
  </w:style>
  <w:style w:type="character" w:customStyle="1" w:styleId="EmailStyle198">
    <w:name w:val="EmailStyle198"/>
    <w:rPr>
      <w:rFonts w:ascii="Arial" w:eastAsia="Arial" w:hAnsi="Arial" w:cs="Arial"/>
      <w:color w:val="auto"/>
      <w:sz w:val="16"/>
    </w:rPr>
  </w:style>
  <w:style w:type="character" w:customStyle="1" w:styleId="EmailStyle199">
    <w:name w:val="EmailStyle199"/>
    <w:rPr>
      <w:rFonts w:ascii="Century Gothic" w:eastAsia="Century Gothic" w:hAnsi="Century Gothic" w:cs="Century Gothic"/>
      <w:color w:val="auto"/>
      <w:sz w:val="20"/>
    </w:rPr>
  </w:style>
  <w:style w:type="character" w:customStyle="1" w:styleId="EmailStyle200">
    <w:name w:val="EmailStyle200"/>
    <w:rPr>
      <w:rFonts w:ascii="Arial" w:eastAsia="Arial" w:hAnsi="Arial" w:cs="Arial"/>
      <w:color w:val="auto"/>
      <w:sz w:val="16"/>
    </w:rPr>
  </w:style>
  <w:style w:type="character" w:customStyle="1" w:styleId="EmailStyle201">
    <w:name w:val="EmailStyle201"/>
    <w:rPr>
      <w:rFonts w:ascii="Century Gothic" w:eastAsia="Century Gothic" w:hAnsi="Century Gothic" w:cs="Century Gothic"/>
      <w:color w:val="auto"/>
      <w:sz w:val="20"/>
    </w:rPr>
  </w:style>
  <w:style w:type="character" w:customStyle="1" w:styleId="EmailStyle202">
    <w:name w:val="EmailStyle202"/>
    <w:rPr>
      <w:rFonts w:ascii="Arial" w:eastAsia="Arial" w:hAnsi="Arial" w:cs="Arial"/>
      <w:color w:val="auto"/>
      <w:sz w:val="16"/>
    </w:rPr>
  </w:style>
  <w:style w:type="character" w:customStyle="1" w:styleId="EmailStyle203">
    <w:name w:val="EmailStyle203"/>
    <w:rPr>
      <w:rFonts w:ascii="Century Gothic" w:eastAsia="Century Gothic" w:hAnsi="Century Gothic" w:cs="Century Gothic"/>
      <w:color w:val="auto"/>
      <w:sz w:val="20"/>
    </w:rPr>
  </w:style>
  <w:style w:type="character" w:customStyle="1" w:styleId="EmailStyle204">
    <w:name w:val="EmailStyle204"/>
    <w:rPr>
      <w:rFonts w:ascii="Arial" w:eastAsia="Arial" w:hAnsi="Arial" w:cs="Arial"/>
      <w:color w:val="auto"/>
      <w:sz w:val="16"/>
    </w:rPr>
  </w:style>
  <w:style w:type="character" w:customStyle="1" w:styleId="EmailStyle205">
    <w:name w:val="EmailStyle205"/>
    <w:rPr>
      <w:rFonts w:ascii="Century Gothic" w:eastAsia="Century Gothic" w:hAnsi="Century Gothic" w:cs="Century Gothic"/>
      <w:color w:val="auto"/>
      <w:sz w:val="20"/>
    </w:rPr>
  </w:style>
  <w:style w:type="character" w:customStyle="1" w:styleId="EmailStyle206">
    <w:name w:val="EmailStyle206"/>
    <w:rPr>
      <w:rFonts w:ascii="Arial" w:eastAsia="Arial" w:hAnsi="Arial" w:cs="Arial"/>
      <w:color w:val="auto"/>
      <w:sz w:val="16"/>
    </w:rPr>
  </w:style>
  <w:style w:type="character" w:customStyle="1" w:styleId="EmailStyle207">
    <w:name w:val="EmailStyle207"/>
    <w:rPr>
      <w:rFonts w:ascii="Century Gothic" w:eastAsia="Century Gothic" w:hAnsi="Century Gothic" w:cs="Century Gothic"/>
      <w:color w:val="auto"/>
      <w:sz w:val="20"/>
    </w:rPr>
  </w:style>
  <w:style w:type="character" w:customStyle="1" w:styleId="EmailStyle208">
    <w:name w:val="EmailStyle208"/>
    <w:rPr>
      <w:rFonts w:ascii="Arial" w:eastAsia="Arial" w:hAnsi="Arial" w:cs="Arial"/>
      <w:color w:val="auto"/>
      <w:sz w:val="16"/>
    </w:rPr>
  </w:style>
  <w:style w:type="character" w:customStyle="1" w:styleId="EmailStyle209">
    <w:name w:val="EmailStyle209"/>
    <w:rPr>
      <w:rFonts w:ascii="Century Gothic" w:eastAsia="Century Gothic" w:hAnsi="Century Gothic" w:cs="Century Gothic"/>
      <w:color w:val="auto"/>
      <w:sz w:val="20"/>
    </w:rPr>
  </w:style>
  <w:style w:type="character" w:customStyle="1" w:styleId="EmailStyle210">
    <w:name w:val="EmailStyle210"/>
    <w:rPr>
      <w:rFonts w:ascii="Arial" w:eastAsia="Arial" w:hAnsi="Arial" w:cs="Arial"/>
      <w:color w:val="auto"/>
      <w:sz w:val="16"/>
    </w:rPr>
  </w:style>
  <w:style w:type="character" w:customStyle="1" w:styleId="EmailStyle211">
    <w:name w:val="EmailStyle211"/>
    <w:rPr>
      <w:rFonts w:ascii="Century Gothic" w:eastAsia="Century Gothic" w:hAnsi="Century Gothic" w:cs="Century Gothic"/>
      <w:color w:val="auto"/>
      <w:sz w:val="20"/>
    </w:rPr>
  </w:style>
  <w:style w:type="character" w:customStyle="1" w:styleId="EmailStyle212">
    <w:name w:val="EmailStyle212"/>
    <w:rPr>
      <w:rFonts w:ascii="Arial" w:eastAsia="Arial" w:hAnsi="Arial" w:cs="Arial"/>
      <w:color w:val="auto"/>
      <w:sz w:val="16"/>
    </w:rPr>
  </w:style>
  <w:style w:type="character" w:customStyle="1" w:styleId="EmailStyle213">
    <w:name w:val="EmailStyle213"/>
    <w:rPr>
      <w:rFonts w:ascii="Century Gothic" w:eastAsia="Century Gothic" w:hAnsi="Century Gothic" w:cs="Century Gothic"/>
      <w:color w:val="auto"/>
      <w:sz w:val="20"/>
    </w:rPr>
  </w:style>
  <w:style w:type="character" w:customStyle="1" w:styleId="EmailStyle214">
    <w:name w:val="EmailStyle214"/>
    <w:rPr>
      <w:rFonts w:ascii="Arial" w:eastAsia="Arial" w:hAnsi="Arial" w:cs="Arial"/>
      <w:color w:val="auto"/>
      <w:sz w:val="16"/>
    </w:rPr>
  </w:style>
  <w:style w:type="character" w:customStyle="1" w:styleId="EmailStyle215">
    <w:name w:val="EmailStyle215"/>
    <w:rPr>
      <w:rFonts w:ascii="Century Gothic" w:eastAsia="Century Gothic" w:hAnsi="Century Gothic" w:cs="Century Gothic"/>
      <w:color w:val="auto"/>
      <w:sz w:val="20"/>
    </w:rPr>
  </w:style>
  <w:style w:type="character" w:customStyle="1" w:styleId="EmailStyle216">
    <w:name w:val="EmailStyle216"/>
    <w:rPr>
      <w:rFonts w:ascii="Arial" w:eastAsia="Arial" w:hAnsi="Arial" w:cs="Arial"/>
      <w:color w:val="auto"/>
      <w:sz w:val="16"/>
    </w:rPr>
  </w:style>
  <w:style w:type="character" w:customStyle="1" w:styleId="EmailStyle217">
    <w:name w:val="EmailStyle217"/>
    <w:rPr>
      <w:rFonts w:ascii="Century Gothic" w:eastAsia="Century Gothic" w:hAnsi="Century Gothic" w:cs="Century Gothic"/>
      <w:color w:val="auto"/>
      <w:sz w:val="20"/>
    </w:rPr>
  </w:style>
  <w:style w:type="character" w:customStyle="1" w:styleId="EmailStyle218">
    <w:name w:val="EmailStyle218"/>
    <w:rPr>
      <w:rFonts w:ascii="Arial" w:eastAsia="Arial" w:hAnsi="Arial" w:cs="Arial"/>
      <w:color w:val="auto"/>
      <w:sz w:val="16"/>
    </w:rPr>
  </w:style>
  <w:style w:type="character" w:customStyle="1" w:styleId="EmailStyle2191">
    <w:name w:val="EmailStyle2191"/>
    <w:rPr>
      <w:rFonts w:ascii="Century Gothic" w:eastAsia="Century Gothic" w:hAnsi="Century Gothic" w:cs="Century Gothic"/>
      <w:color w:val="auto"/>
      <w:sz w:val="20"/>
    </w:rPr>
  </w:style>
  <w:style w:type="character" w:customStyle="1" w:styleId="EmailStyle2201">
    <w:name w:val="EmailStyle2201"/>
    <w:rPr>
      <w:rFonts w:ascii="Arial" w:eastAsia="Arial" w:hAnsi="Arial" w:cs="Arial"/>
      <w:color w:val="auto"/>
      <w:sz w:val="16"/>
    </w:rPr>
  </w:style>
  <w:style w:type="character" w:customStyle="1" w:styleId="EmailStyle2211">
    <w:name w:val="EmailStyle2211"/>
    <w:rPr>
      <w:rFonts w:ascii="Century Gothic" w:eastAsia="Century Gothic" w:hAnsi="Century Gothic" w:cs="Century Gothic"/>
      <w:color w:val="auto"/>
      <w:sz w:val="20"/>
    </w:rPr>
  </w:style>
  <w:style w:type="character" w:customStyle="1" w:styleId="EmailStyle2221">
    <w:name w:val="EmailStyle2221"/>
    <w:rPr>
      <w:rFonts w:ascii="Arial" w:eastAsia="Arial" w:hAnsi="Arial" w:cs="Arial"/>
      <w:color w:val="auto"/>
      <w:sz w:val="16"/>
    </w:rPr>
  </w:style>
  <w:style w:type="character" w:customStyle="1" w:styleId="EmailStyle2231">
    <w:name w:val="EmailStyle2231"/>
    <w:rPr>
      <w:rFonts w:ascii="Century Gothic" w:eastAsia="Century Gothic" w:hAnsi="Century Gothic" w:cs="Century Gothic"/>
      <w:color w:val="auto"/>
      <w:sz w:val="20"/>
    </w:rPr>
  </w:style>
  <w:style w:type="character" w:customStyle="1" w:styleId="EmailStyle2241">
    <w:name w:val="EmailStyle2241"/>
    <w:rPr>
      <w:rFonts w:ascii="Arial" w:eastAsia="Arial" w:hAnsi="Arial" w:cs="Arial"/>
      <w:color w:val="auto"/>
      <w:sz w:val="16"/>
    </w:rPr>
  </w:style>
  <w:style w:type="character" w:customStyle="1" w:styleId="EmailStyle2251">
    <w:name w:val="EmailStyle2251"/>
    <w:rPr>
      <w:rFonts w:ascii="Century Gothic" w:eastAsia="Century Gothic" w:hAnsi="Century Gothic" w:cs="Century Gothic"/>
      <w:color w:val="auto"/>
      <w:sz w:val="20"/>
    </w:rPr>
  </w:style>
  <w:style w:type="character" w:customStyle="1" w:styleId="EmailStyle2261">
    <w:name w:val="EmailStyle2261"/>
    <w:rPr>
      <w:rFonts w:ascii="Arial" w:eastAsia="Arial" w:hAnsi="Arial" w:cs="Arial"/>
      <w:color w:val="auto"/>
      <w:sz w:val="16"/>
    </w:rPr>
  </w:style>
  <w:style w:type="character" w:customStyle="1" w:styleId="EmailStyle2271">
    <w:name w:val="EmailStyle2271"/>
    <w:rPr>
      <w:rFonts w:ascii="Century Gothic" w:eastAsia="Century Gothic" w:hAnsi="Century Gothic" w:cs="Century Gothic"/>
      <w:color w:val="auto"/>
      <w:sz w:val="20"/>
    </w:rPr>
  </w:style>
  <w:style w:type="character" w:customStyle="1" w:styleId="EmailStyle2281">
    <w:name w:val="EmailStyle2281"/>
    <w:rPr>
      <w:rFonts w:ascii="Arial" w:eastAsia="Arial" w:hAnsi="Arial" w:cs="Arial"/>
      <w:color w:val="auto"/>
      <w:sz w:val="16"/>
    </w:rPr>
  </w:style>
  <w:style w:type="character" w:customStyle="1" w:styleId="EmailStyle2291">
    <w:name w:val="EmailStyle2291"/>
    <w:rPr>
      <w:rFonts w:ascii="Century Gothic" w:eastAsia="Century Gothic" w:hAnsi="Century Gothic" w:cs="Century Gothic"/>
      <w:color w:val="auto"/>
      <w:sz w:val="20"/>
    </w:rPr>
  </w:style>
  <w:style w:type="character" w:customStyle="1" w:styleId="EmailStyle2301">
    <w:name w:val="EmailStyle2301"/>
    <w:rPr>
      <w:rFonts w:ascii="Arial" w:eastAsia="Arial" w:hAnsi="Arial" w:cs="Arial"/>
      <w:color w:val="auto"/>
      <w:sz w:val="16"/>
    </w:rPr>
  </w:style>
  <w:style w:type="character" w:customStyle="1" w:styleId="EmailStyle2311">
    <w:name w:val="EmailStyle2311"/>
    <w:rPr>
      <w:rFonts w:ascii="Century Gothic" w:eastAsia="Century Gothic" w:hAnsi="Century Gothic" w:cs="Century Gothic"/>
      <w:color w:val="auto"/>
      <w:sz w:val="20"/>
    </w:rPr>
  </w:style>
  <w:style w:type="character" w:customStyle="1" w:styleId="EmailStyle2321">
    <w:name w:val="EmailStyle2321"/>
    <w:rPr>
      <w:rFonts w:ascii="Arial" w:eastAsia="Arial" w:hAnsi="Arial" w:cs="Arial"/>
      <w:color w:val="auto"/>
      <w:sz w:val="16"/>
    </w:rPr>
  </w:style>
  <w:style w:type="character" w:customStyle="1" w:styleId="EmailStyle2331">
    <w:name w:val="EmailStyle2331"/>
    <w:rPr>
      <w:rFonts w:ascii="Century Gothic" w:eastAsia="Century Gothic" w:hAnsi="Century Gothic" w:cs="Century Gothic"/>
      <w:color w:val="auto"/>
      <w:sz w:val="20"/>
    </w:rPr>
  </w:style>
  <w:style w:type="character" w:customStyle="1" w:styleId="EmailStyle2341">
    <w:name w:val="EmailStyle2341"/>
    <w:rPr>
      <w:rFonts w:ascii="Arial" w:eastAsia="Arial" w:hAnsi="Arial" w:cs="Arial"/>
      <w:color w:val="auto"/>
      <w:sz w:val="16"/>
    </w:rPr>
  </w:style>
  <w:style w:type="character" w:customStyle="1" w:styleId="EmailStyle2351">
    <w:name w:val="EmailStyle2351"/>
    <w:rPr>
      <w:rFonts w:ascii="Century Gothic" w:eastAsia="Century Gothic" w:hAnsi="Century Gothic" w:cs="Century Gothic"/>
      <w:color w:val="auto"/>
      <w:sz w:val="20"/>
    </w:rPr>
  </w:style>
  <w:style w:type="character" w:customStyle="1" w:styleId="EmailStyle2361">
    <w:name w:val="EmailStyle2361"/>
    <w:rPr>
      <w:rFonts w:ascii="Arial" w:eastAsia="Arial" w:hAnsi="Arial" w:cs="Arial"/>
      <w:color w:val="auto"/>
      <w:sz w:val="16"/>
    </w:rPr>
  </w:style>
  <w:style w:type="character" w:customStyle="1" w:styleId="EmailStyle2371">
    <w:name w:val="EmailStyle2371"/>
    <w:rPr>
      <w:rFonts w:ascii="Century Gothic" w:eastAsia="Century Gothic" w:hAnsi="Century Gothic" w:cs="Century Gothic"/>
      <w:color w:val="auto"/>
      <w:sz w:val="20"/>
    </w:rPr>
  </w:style>
  <w:style w:type="character" w:customStyle="1" w:styleId="EmailStyle2381">
    <w:name w:val="EmailStyle2381"/>
    <w:rPr>
      <w:rFonts w:ascii="Arial" w:eastAsia="Arial" w:hAnsi="Arial" w:cs="Arial"/>
      <w:color w:val="auto"/>
      <w:sz w:val="16"/>
    </w:rPr>
  </w:style>
  <w:style w:type="character" w:customStyle="1" w:styleId="EmailStyle2391">
    <w:name w:val="EmailStyle2391"/>
    <w:rPr>
      <w:rFonts w:ascii="Century Gothic" w:eastAsia="Century Gothic" w:hAnsi="Century Gothic" w:cs="Century Gothic"/>
      <w:color w:val="auto"/>
      <w:sz w:val="20"/>
    </w:rPr>
  </w:style>
  <w:style w:type="character" w:customStyle="1" w:styleId="EmailStyle2401">
    <w:name w:val="EmailStyle2401"/>
    <w:rPr>
      <w:rFonts w:ascii="Arial" w:eastAsia="Arial" w:hAnsi="Arial" w:cs="Arial"/>
      <w:color w:val="auto"/>
      <w:sz w:val="16"/>
    </w:rPr>
  </w:style>
  <w:style w:type="character" w:customStyle="1" w:styleId="EmailStyle2411">
    <w:name w:val="EmailStyle2411"/>
    <w:rPr>
      <w:rFonts w:ascii="Century Gothic" w:eastAsia="Century Gothic" w:hAnsi="Century Gothic" w:cs="Century Gothic"/>
      <w:color w:val="auto"/>
      <w:sz w:val="20"/>
    </w:rPr>
  </w:style>
  <w:style w:type="character" w:customStyle="1" w:styleId="EmailStyle2421">
    <w:name w:val="EmailStyle2421"/>
    <w:rPr>
      <w:rFonts w:ascii="Arial" w:eastAsia="Arial" w:hAnsi="Arial" w:cs="Arial"/>
      <w:color w:val="auto"/>
      <w:sz w:val="16"/>
    </w:rPr>
  </w:style>
  <w:style w:type="character" w:customStyle="1" w:styleId="EmailStyle2431">
    <w:name w:val="EmailStyle2431"/>
    <w:rPr>
      <w:rFonts w:ascii="Century Gothic" w:eastAsia="Century Gothic" w:hAnsi="Century Gothic" w:cs="Century Gothic"/>
      <w:color w:val="auto"/>
      <w:sz w:val="20"/>
    </w:rPr>
  </w:style>
  <w:style w:type="character" w:customStyle="1" w:styleId="EmailStyle2441">
    <w:name w:val="EmailStyle2441"/>
    <w:rPr>
      <w:rFonts w:ascii="Arial" w:eastAsia="Arial" w:hAnsi="Arial" w:cs="Arial"/>
      <w:color w:val="auto"/>
      <w:sz w:val="16"/>
    </w:rPr>
  </w:style>
  <w:style w:type="character" w:customStyle="1" w:styleId="EmailStyle2451">
    <w:name w:val="EmailStyle2451"/>
    <w:rPr>
      <w:rFonts w:ascii="Century Gothic" w:eastAsia="Century Gothic" w:hAnsi="Century Gothic" w:cs="Century Gothic"/>
      <w:color w:val="auto"/>
      <w:sz w:val="20"/>
    </w:rPr>
  </w:style>
  <w:style w:type="character" w:customStyle="1" w:styleId="EmailStyle2461">
    <w:name w:val="EmailStyle2461"/>
    <w:rPr>
      <w:rFonts w:ascii="Arial" w:eastAsia="Arial" w:hAnsi="Arial" w:cs="Arial"/>
      <w:color w:val="auto"/>
      <w:sz w:val="16"/>
    </w:rPr>
  </w:style>
  <w:style w:type="character" w:customStyle="1" w:styleId="EmailStyle2471">
    <w:name w:val="EmailStyle2471"/>
    <w:rPr>
      <w:rFonts w:ascii="Century Gothic" w:eastAsia="Century Gothic" w:hAnsi="Century Gothic" w:cs="Century Gothic"/>
      <w:color w:val="auto"/>
      <w:sz w:val="20"/>
    </w:rPr>
  </w:style>
  <w:style w:type="character" w:customStyle="1" w:styleId="EmailStyle2481">
    <w:name w:val="EmailStyle2481"/>
    <w:rPr>
      <w:rFonts w:ascii="Arial" w:eastAsia="Arial" w:hAnsi="Arial" w:cs="Arial"/>
      <w:color w:val="auto"/>
      <w:sz w:val="16"/>
    </w:rPr>
  </w:style>
  <w:style w:type="character" w:customStyle="1" w:styleId="EmailStyle2491">
    <w:name w:val="EmailStyle2491"/>
    <w:rPr>
      <w:rFonts w:ascii="Century Gothic" w:eastAsia="Century Gothic" w:hAnsi="Century Gothic" w:cs="Century Gothic"/>
      <w:color w:val="auto"/>
      <w:sz w:val="20"/>
    </w:rPr>
  </w:style>
  <w:style w:type="character" w:customStyle="1" w:styleId="EmailStyle2501">
    <w:name w:val="EmailStyle2501"/>
    <w:rPr>
      <w:rFonts w:ascii="Arial" w:eastAsia="Arial" w:hAnsi="Arial" w:cs="Arial"/>
      <w:color w:val="auto"/>
      <w:sz w:val="16"/>
    </w:rPr>
  </w:style>
  <w:style w:type="character" w:customStyle="1" w:styleId="EmailStyle2511">
    <w:name w:val="EmailStyle2511"/>
    <w:rPr>
      <w:rFonts w:ascii="Century Gothic" w:eastAsia="Century Gothic" w:hAnsi="Century Gothic" w:cs="Century Gothic"/>
      <w:color w:val="auto"/>
      <w:sz w:val="20"/>
    </w:rPr>
  </w:style>
  <w:style w:type="character" w:customStyle="1" w:styleId="EmailStyle2521">
    <w:name w:val="EmailStyle2521"/>
    <w:rPr>
      <w:rFonts w:ascii="Arial" w:eastAsia="Arial" w:hAnsi="Arial" w:cs="Arial"/>
      <w:color w:val="auto"/>
      <w:sz w:val="16"/>
    </w:rPr>
  </w:style>
  <w:style w:type="character" w:customStyle="1" w:styleId="EmailStyle2531">
    <w:name w:val="EmailStyle2531"/>
    <w:rPr>
      <w:rFonts w:ascii="Century Gothic" w:eastAsia="Century Gothic" w:hAnsi="Century Gothic" w:cs="Century Gothic"/>
      <w:color w:val="auto"/>
      <w:sz w:val="20"/>
    </w:rPr>
  </w:style>
  <w:style w:type="character" w:customStyle="1" w:styleId="EmailStyle2541">
    <w:name w:val="EmailStyle2541"/>
    <w:rPr>
      <w:rFonts w:ascii="Arial" w:eastAsia="Arial" w:hAnsi="Arial" w:cs="Arial"/>
      <w:color w:val="auto"/>
      <w:sz w:val="16"/>
    </w:rPr>
  </w:style>
  <w:style w:type="character" w:customStyle="1" w:styleId="EmailStyle2551">
    <w:name w:val="EmailStyle2551"/>
    <w:rPr>
      <w:rFonts w:ascii="Century Gothic" w:eastAsia="Century Gothic" w:hAnsi="Century Gothic" w:cs="Century Gothic"/>
      <w:color w:val="auto"/>
      <w:sz w:val="20"/>
    </w:rPr>
  </w:style>
  <w:style w:type="character" w:customStyle="1" w:styleId="EmailStyle2561">
    <w:name w:val="EmailStyle2561"/>
    <w:rPr>
      <w:rFonts w:ascii="Arial" w:eastAsia="Arial" w:hAnsi="Arial" w:cs="Arial"/>
      <w:color w:val="auto"/>
      <w:sz w:val="16"/>
    </w:rPr>
  </w:style>
  <w:style w:type="character" w:customStyle="1" w:styleId="EmailStyle2571">
    <w:name w:val="EmailStyle2571"/>
    <w:rPr>
      <w:rFonts w:ascii="Century Gothic" w:eastAsia="Century Gothic" w:hAnsi="Century Gothic" w:cs="Century Gothic"/>
      <w:color w:val="auto"/>
      <w:sz w:val="20"/>
    </w:rPr>
  </w:style>
  <w:style w:type="character" w:customStyle="1" w:styleId="EmailStyle2581">
    <w:name w:val="EmailStyle2581"/>
    <w:rPr>
      <w:rFonts w:ascii="Arial" w:eastAsia="Arial" w:hAnsi="Arial" w:cs="Arial"/>
      <w:color w:val="auto"/>
      <w:sz w:val="16"/>
    </w:rPr>
  </w:style>
  <w:style w:type="character" w:customStyle="1" w:styleId="EmailStyle2591">
    <w:name w:val="EmailStyle2591"/>
    <w:rPr>
      <w:rFonts w:ascii="Century Gothic" w:eastAsia="Century Gothic" w:hAnsi="Century Gothic" w:cs="Century Gothic"/>
      <w:color w:val="auto"/>
      <w:sz w:val="20"/>
    </w:rPr>
  </w:style>
  <w:style w:type="character" w:customStyle="1" w:styleId="EmailStyle2601">
    <w:name w:val="EmailStyle2601"/>
    <w:rPr>
      <w:rFonts w:ascii="Arial" w:eastAsia="Arial" w:hAnsi="Arial" w:cs="Arial"/>
      <w:color w:val="auto"/>
      <w:sz w:val="16"/>
    </w:rPr>
  </w:style>
  <w:style w:type="character" w:customStyle="1" w:styleId="EmailStyle2611">
    <w:name w:val="EmailStyle2611"/>
    <w:rPr>
      <w:rFonts w:ascii="Century Gothic" w:eastAsia="Century Gothic" w:hAnsi="Century Gothic" w:cs="Century Gothic"/>
      <w:color w:val="auto"/>
      <w:sz w:val="20"/>
    </w:rPr>
  </w:style>
  <w:style w:type="character" w:customStyle="1" w:styleId="EmailStyle2621">
    <w:name w:val="EmailStyle2621"/>
    <w:rPr>
      <w:rFonts w:ascii="Arial" w:eastAsia="Arial" w:hAnsi="Arial" w:cs="Arial"/>
      <w:color w:val="auto"/>
      <w:sz w:val="16"/>
    </w:rPr>
  </w:style>
  <w:style w:type="character" w:customStyle="1" w:styleId="EmailStyle263">
    <w:name w:val="EmailStyle263"/>
    <w:rPr>
      <w:rFonts w:ascii="Century Gothic" w:eastAsia="Century Gothic" w:hAnsi="Century Gothic" w:cs="Century Gothic"/>
      <w:color w:val="auto"/>
      <w:sz w:val="20"/>
    </w:rPr>
  </w:style>
  <w:style w:type="character" w:customStyle="1" w:styleId="EmailStyle264">
    <w:name w:val="EmailStyle264"/>
    <w:rPr>
      <w:rFonts w:ascii="Arial" w:eastAsia="Arial" w:hAnsi="Arial" w:cs="Arial"/>
      <w:color w:val="auto"/>
      <w:sz w:val="16"/>
    </w:rPr>
  </w:style>
  <w:style w:type="character" w:customStyle="1" w:styleId="EmailStyle265">
    <w:name w:val="EmailStyle265"/>
    <w:rPr>
      <w:rFonts w:ascii="Century Gothic" w:eastAsia="Century Gothic" w:hAnsi="Century Gothic" w:cs="Century Gothic"/>
      <w:color w:val="auto"/>
      <w:sz w:val="20"/>
    </w:rPr>
  </w:style>
  <w:style w:type="character" w:customStyle="1" w:styleId="EmailStyle266">
    <w:name w:val="EmailStyle266"/>
    <w:rPr>
      <w:rFonts w:ascii="Arial" w:eastAsia="Arial" w:hAnsi="Arial" w:cs="Arial"/>
      <w:color w:val="auto"/>
      <w:sz w:val="16"/>
    </w:rPr>
  </w:style>
  <w:style w:type="character" w:customStyle="1" w:styleId="EmailStyle267">
    <w:name w:val="EmailStyle267"/>
    <w:rPr>
      <w:rFonts w:ascii="Century Gothic" w:eastAsia="Century Gothic" w:hAnsi="Century Gothic" w:cs="Century Gothic"/>
      <w:color w:val="auto"/>
      <w:sz w:val="20"/>
    </w:rPr>
  </w:style>
  <w:style w:type="character" w:customStyle="1" w:styleId="EmailStyle268">
    <w:name w:val="EmailStyle268"/>
    <w:rPr>
      <w:rFonts w:ascii="Arial" w:eastAsia="Arial" w:hAnsi="Arial" w:cs="Arial"/>
      <w:color w:val="auto"/>
      <w:sz w:val="16"/>
    </w:rPr>
  </w:style>
  <w:style w:type="character" w:customStyle="1" w:styleId="EmailStyle269">
    <w:name w:val="EmailStyle269"/>
    <w:rPr>
      <w:rFonts w:ascii="Century Gothic" w:eastAsia="Century Gothic" w:hAnsi="Century Gothic" w:cs="Century Gothic"/>
      <w:color w:val="auto"/>
      <w:sz w:val="20"/>
    </w:rPr>
  </w:style>
  <w:style w:type="character" w:customStyle="1" w:styleId="EmailStyle270">
    <w:name w:val="EmailStyle270"/>
    <w:rPr>
      <w:rFonts w:ascii="Arial" w:eastAsia="Arial" w:hAnsi="Arial" w:cs="Arial"/>
      <w:color w:val="auto"/>
      <w:sz w:val="16"/>
    </w:rPr>
  </w:style>
  <w:style w:type="character" w:customStyle="1" w:styleId="EmailStyle271">
    <w:name w:val="EmailStyle271"/>
    <w:rPr>
      <w:rFonts w:ascii="Century Gothic" w:eastAsia="Century Gothic" w:hAnsi="Century Gothic" w:cs="Century Gothic"/>
      <w:color w:val="auto"/>
      <w:sz w:val="20"/>
    </w:rPr>
  </w:style>
  <w:style w:type="character" w:customStyle="1" w:styleId="EmailStyle272">
    <w:name w:val="EmailStyle272"/>
    <w:rPr>
      <w:rFonts w:ascii="Arial" w:eastAsia="Arial" w:hAnsi="Arial" w:cs="Arial"/>
      <w:color w:val="auto"/>
      <w:sz w:val="16"/>
    </w:rPr>
  </w:style>
  <w:style w:type="character" w:customStyle="1" w:styleId="EmailStyle273">
    <w:name w:val="EmailStyle273"/>
    <w:rPr>
      <w:rFonts w:ascii="Century Gothic" w:eastAsia="Century Gothic" w:hAnsi="Century Gothic" w:cs="Century Gothic"/>
      <w:color w:val="auto"/>
      <w:sz w:val="20"/>
    </w:rPr>
  </w:style>
  <w:style w:type="character" w:customStyle="1" w:styleId="EmailStyle274">
    <w:name w:val="EmailStyle274"/>
    <w:rPr>
      <w:rFonts w:ascii="Arial" w:eastAsia="Arial" w:hAnsi="Arial" w:cs="Arial"/>
      <w:color w:val="auto"/>
      <w:sz w:val="16"/>
    </w:rPr>
  </w:style>
  <w:style w:type="character" w:customStyle="1" w:styleId="EmailStyle275">
    <w:name w:val="EmailStyle275"/>
    <w:rPr>
      <w:rFonts w:ascii="Century Gothic" w:eastAsia="Century Gothic" w:hAnsi="Century Gothic" w:cs="Century Gothic"/>
      <w:color w:val="auto"/>
      <w:sz w:val="20"/>
    </w:rPr>
  </w:style>
  <w:style w:type="character" w:customStyle="1" w:styleId="EmailStyle276">
    <w:name w:val="EmailStyle276"/>
    <w:rPr>
      <w:rFonts w:ascii="Arial" w:eastAsia="Arial" w:hAnsi="Arial" w:cs="Arial"/>
      <w:color w:val="auto"/>
      <w:sz w:val="16"/>
    </w:rPr>
  </w:style>
  <w:style w:type="character" w:customStyle="1" w:styleId="EmailStyle277">
    <w:name w:val="EmailStyle277"/>
    <w:rPr>
      <w:rFonts w:ascii="Century Gothic" w:eastAsia="Century Gothic" w:hAnsi="Century Gothic" w:cs="Century Gothic"/>
      <w:color w:val="auto"/>
      <w:sz w:val="20"/>
    </w:rPr>
  </w:style>
  <w:style w:type="character" w:customStyle="1" w:styleId="EmailStyle278">
    <w:name w:val="EmailStyle278"/>
    <w:rPr>
      <w:rFonts w:ascii="Arial" w:eastAsia="Arial" w:hAnsi="Arial" w:cs="Arial"/>
      <w:color w:val="auto"/>
      <w:sz w:val="16"/>
    </w:rPr>
  </w:style>
  <w:style w:type="character" w:customStyle="1" w:styleId="EmailStyle279">
    <w:name w:val="EmailStyle279"/>
    <w:rPr>
      <w:rFonts w:ascii="Century Gothic" w:eastAsia="Century Gothic" w:hAnsi="Century Gothic" w:cs="Century Gothic"/>
      <w:color w:val="auto"/>
      <w:sz w:val="20"/>
    </w:rPr>
  </w:style>
  <w:style w:type="character" w:customStyle="1" w:styleId="EmailStyle280">
    <w:name w:val="EmailStyle280"/>
    <w:rPr>
      <w:rFonts w:ascii="Arial" w:eastAsia="Arial" w:hAnsi="Arial" w:cs="Arial"/>
      <w:color w:val="auto"/>
      <w:sz w:val="16"/>
    </w:rPr>
  </w:style>
  <w:style w:type="character" w:customStyle="1" w:styleId="EmailStyle281">
    <w:name w:val="EmailStyle281"/>
    <w:rPr>
      <w:rFonts w:ascii="Century Gothic" w:eastAsia="Century Gothic" w:hAnsi="Century Gothic" w:cs="Century Gothic"/>
      <w:color w:val="auto"/>
      <w:sz w:val="20"/>
    </w:rPr>
  </w:style>
  <w:style w:type="character" w:customStyle="1" w:styleId="EmailStyle282">
    <w:name w:val="EmailStyle282"/>
    <w:rPr>
      <w:rFonts w:ascii="Arial" w:eastAsia="Arial" w:hAnsi="Arial" w:cs="Arial"/>
      <w:color w:val="auto"/>
      <w:sz w:val="16"/>
    </w:rPr>
  </w:style>
  <w:style w:type="character" w:customStyle="1" w:styleId="EmailStyle283">
    <w:name w:val="EmailStyle283"/>
    <w:rPr>
      <w:rFonts w:ascii="Century Gothic" w:eastAsia="Century Gothic" w:hAnsi="Century Gothic" w:cs="Century Gothic"/>
      <w:color w:val="auto"/>
      <w:sz w:val="20"/>
    </w:rPr>
  </w:style>
  <w:style w:type="character" w:customStyle="1" w:styleId="EmailStyle284">
    <w:name w:val="EmailStyle284"/>
    <w:rPr>
      <w:rFonts w:ascii="Arial" w:eastAsia="Arial" w:hAnsi="Arial" w:cs="Arial"/>
      <w:color w:val="auto"/>
      <w:sz w:val="16"/>
    </w:rPr>
  </w:style>
  <w:style w:type="character" w:customStyle="1" w:styleId="EmailStyle285">
    <w:name w:val="EmailStyle285"/>
    <w:rPr>
      <w:rFonts w:ascii="Century Gothic" w:eastAsia="Century Gothic" w:hAnsi="Century Gothic" w:cs="Century Gothic"/>
      <w:color w:val="auto"/>
      <w:sz w:val="20"/>
    </w:rPr>
  </w:style>
  <w:style w:type="character" w:customStyle="1" w:styleId="EmailStyle286">
    <w:name w:val="EmailStyle286"/>
    <w:rPr>
      <w:rFonts w:ascii="Arial" w:eastAsia="Arial" w:hAnsi="Arial" w:cs="Arial"/>
      <w:color w:val="auto"/>
      <w:sz w:val="16"/>
    </w:rPr>
  </w:style>
  <w:style w:type="character" w:customStyle="1" w:styleId="EmailStyle287">
    <w:name w:val="EmailStyle287"/>
    <w:rPr>
      <w:rFonts w:ascii="Century Gothic" w:eastAsia="Century Gothic" w:hAnsi="Century Gothic" w:cs="Century Gothic"/>
      <w:color w:val="auto"/>
      <w:sz w:val="20"/>
    </w:rPr>
  </w:style>
  <w:style w:type="character" w:customStyle="1" w:styleId="EmailStyle288">
    <w:name w:val="EmailStyle288"/>
    <w:rPr>
      <w:rFonts w:ascii="Arial" w:eastAsia="Arial" w:hAnsi="Arial" w:cs="Arial"/>
      <w:color w:val="auto"/>
      <w:sz w:val="16"/>
    </w:rPr>
  </w:style>
  <w:style w:type="character" w:customStyle="1" w:styleId="EmailStyle289">
    <w:name w:val="EmailStyle289"/>
    <w:rPr>
      <w:rFonts w:ascii="Century Gothic" w:eastAsia="Century Gothic" w:hAnsi="Century Gothic" w:cs="Century Gothic"/>
      <w:color w:val="auto"/>
      <w:sz w:val="20"/>
    </w:rPr>
  </w:style>
  <w:style w:type="character" w:customStyle="1" w:styleId="EmailStyle290">
    <w:name w:val="EmailStyle290"/>
    <w:rPr>
      <w:rFonts w:ascii="Arial" w:eastAsia="Arial" w:hAnsi="Arial" w:cs="Arial"/>
      <w:color w:val="auto"/>
      <w:sz w:val="16"/>
    </w:rPr>
  </w:style>
  <w:style w:type="character" w:customStyle="1" w:styleId="EmailStyle291">
    <w:name w:val="EmailStyle291"/>
    <w:rPr>
      <w:rFonts w:ascii="Century Gothic" w:eastAsia="Century Gothic" w:hAnsi="Century Gothic" w:cs="Century Gothic"/>
      <w:color w:val="auto"/>
      <w:sz w:val="20"/>
    </w:rPr>
  </w:style>
  <w:style w:type="character" w:customStyle="1" w:styleId="EmailStyle292">
    <w:name w:val="EmailStyle292"/>
    <w:rPr>
      <w:rFonts w:ascii="Arial" w:eastAsia="Arial" w:hAnsi="Arial" w:cs="Arial"/>
      <w:color w:val="auto"/>
      <w:sz w:val="16"/>
    </w:rPr>
  </w:style>
  <w:style w:type="character" w:customStyle="1" w:styleId="EmailStyle293">
    <w:name w:val="EmailStyle293"/>
    <w:rPr>
      <w:rFonts w:ascii="Century Gothic" w:eastAsia="Century Gothic" w:hAnsi="Century Gothic" w:cs="Century Gothic"/>
      <w:color w:val="auto"/>
      <w:sz w:val="20"/>
    </w:rPr>
  </w:style>
  <w:style w:type="character" w:customStyle="1" w:styleId="EmailStyle294">
    <w:name w:val="EmailStyle294"/>
    <w:rPr>
      <w:rFonts w:ascii="Arial" w:eastAsia="Arial" w:hAnsi="Arial" w:cs="Arial"/>
      <w:color w:val="auto"/>
      <w:sz w:val="16"/>
    </w:rPr>
  </w:style>
  <w:style w:type="character" w:customStyle="1" w:styleId="EmailStyle295">
    <w:name w:val="EmailStyle295"/>
    <w:rPr>
      <w:rFonts w:ascii="Century Gothic" w:eastAsia="Century Gothic" w:hAnsi="Century Gothic" w:cs="Century Gothic"/>
      <w:color w:val="auto"/>
      <w:sz w:val="20"/>
    </w:rPr>
  </w:style>
  <w:style w:type="character" w:customStyle="1" w:styleId="EmailStyle296">
    <w:name w:val="EmailStyle296"/>
    <w:rPr>
      <w:rFonts w:ascii="Arial" w:eastAsia="Arial" w:hAnsi="Arial" w:cs="Arial"/>
      <w:color w:val="auto"/>
      <w:sz w:val="16"/>
    </w:rPr>
  </w:style>
  <w:style w:type="character" w:customStyle="1" w:styleId="EmailStyle297">
    <w:name w:val="EmailStyle297"/>
    <w:rPr>
      <w:rFonts w:ascii="Century Gothic" w:eastAsia="Century Gothic" w:hAnsi="Century Gothic" w:cs="Century Gothic"/>
      <w:color w:val="auto"/>
      <w:sz w:val="20"/>
    </w:rPr>
  </w:style>
  <w:style w:type="character" w:customStyle="1" w:styleId="EmailStyle298">
    <w:name w:val="EmailStyle298"/>
    <w:rPr>
      <w:rFonts w:ascii="Arial" w:eastAsia="Arial" w:hAnsi="Arial" w:cs="Arial"/>
      <w:color w:val="auto"/>
      <w:sz w:val="16"/>
    </w:rPr>
  </w:style>
  <w:style w:type="character" w:customStyle="1" w:styleId="EmailStyle299">
    <w:name w:val="EmailStyle299"/>
    <w:rPr>
      <w:rFonts w:ascii="Century Gothic" w:eastAsia="Century Gothic" w:hAnsi="Century Gothic" w:cs="Century Gothic"/>
      <w:color w:val="auto"/>
      <w:sz w:val="20"/>
    </w:rPr>
  </w:style>
  <w:style w:type="character" w:customStyle="1" w:styleId="EmailStyle300">
    <w:name w:val="EmailStyle300"/>
    <w:rPr>
      <w:rFonts w:ascii="Arial" w:eastAsia="Arial" w:hAnsi="Arial" w:cs="Arial"/>
      <w:color w:val="auto"/>
      <w:sz w:val="16"/>
    </w:rPr>
  </w:style>
  <w:style w:type="character" w:customStyle="1" w:styleId="EmailStyle301">
    <w:name w:val="EmailStyle301"/>
    <w:rPr>
      <w:rFonts w:ascii="Century Gothic" w:eastAsia="Century Gothic" w:hAnsi="Century Gothic" w:cs="Century Gothic"/>
      <w:color w:val="auto"/>
      <w:sz w:val="20"/>
    </w:rPr>
  </w:style>
  <w:style w:type="character" w:customStyle="1" w:styleId="EmailStyle302">
    <w:name w:val="EmailStyle302"/>
    <w:rPr>
      <w:rFonts w:ascii="Arial" w:eastAsia="Arial" w:hAnsi="Arial" w:cs="Arial"/>
      <w:color w:val="auto"/>
      <w:sz w:val="16"/>
    </w:rPr>
  </w:style>
  <w:style w:type="character" w:customStyle="1" w:styleId="EmailStyle303">
    <w:name w:val="EmailStyle303"/>
    <w:rPr>
      <w:rFonts w:ascii="Century Gothic" w:eastAsia="Century Gothic" w:hAnsi="Century Gothic" w:cs="Century Gothic"/>
      <w:color w:val="auto"/>
      <w:sz w:val="20"/>
    </w:rPr>
  </w:style>
  <w:style w:type="character" w:customStyle="1" w:styleId="EmailStyle304">
    <w:name w:val="EmailStyle304"/>
    <w:rPr>
      <w:rFonts w:ascii="Arial" w:eastAsia="Arial" w:hAnsi="Arial" w:cs="Arial"/>
      <w:color w:val="auto"/>
      <w:sz w:val="16"/>
    </w:rPr>
  </w:style>
  <w:style w:type="character" w:customStyle="1" w:styleId="EmailStyle305">
    <w:name w:val="EmailStyle305"/>
    <w:rPr>
      <w:rFonts w:ascii="Century Gothic" w:eastAsia="Century Gothic" w:hAnsi="Century Gothic" w:cs="Century Gothic"/>
      <w:color w:val="auto"/>
      <w:sz w:val="20"/>
    </w:rPr>
  </w:style>
  <w:style w:type="character" w:customStyle="1" w:styleId="EmailStyle306">
    <w:name w:val="EmailStyle306"/>
    <w:rPr>
      <w:rFonts w:ascii="Arial" w:eastAsia="Arial" w:hAnsi="Arial" w:cs="Arial"/>
      <w:color w:val="auto"/>
      <w:sz w:val="16"/>
    </w:rPr>
  </w:style>
  <w:style w:type="character" w:customStyle="1" w:styleId="EmailStyle3071">
    <w:name w:val="EmailStyle3071"/>
    <w:rPr>
      <w:rFonts w:ascii="Century Gothic" w:eastAsia="Century Gothic" w:hAnsi="Century Gothic" w:cs="Century Gothic"/>
      <w:color w:val="auto"/>
      <w:sz w:val="20"/>
    </w:rPr>
  </w:style>
  <w:style w:type="character" w:customStyle="1" w:styleId="EmailStyle3081">
    <w:name w:val="EmailStyle3081"/>
    <w:rPr>
      <w:rFonts w:ascii="Arial" w:eastAsia="Arial" w:hAnsi="Arial" w:cs="Arial"/>
      <w:color w:val="auto"/>
      <w:sz w:val="16"/>
    </w:rPr>
  </w:style>
  <w:style w:type="character" w:customStyle="1" w:styleId="EmailStyle3091">
    <w:name w:val="EmailStyle3091"/>
    <w:rPr>
      <w:rFonts w:ascii="Century Gothic" w:eastAsia="Century Gothic" w:hAnsi="Century Gothic" w:cs="Century Gothic"/>
      <w:color w:val="auto"/>
      <w:sz w:val="20"/>
    </w:rPr>
  </w:style>
  <w:style w:type="character" w:customStyle="1" w:styleId="EmailStyle3101">
    <w:name w:val="EmailStyle3101"/>
    <w:rPr>
      <w:rFonts w:ascii="Arial" w:eastAsia="Arial" w:hAnsi="Arial" w:cs="Arial"/>
      <w:color w:val="auto"/>
      <w:sz w:val="16"/>
    </w:rPr>
  </w:style>
  <w:style w:type="character" w:customStyle="1" w:styleId="EmailStyle3111">
    <w:name w:val="EmailStyle3111"/>
    <w:rPr>
      <w:rFonts w:ascii="Century Gothic" w:eastAsia="Century Gothic" w:hAnsi="Century Gothic" w:cs="Century Gothic"/>
      <w:color w:val="auto"/>
      <w:sz w:val="20"/>
    </w:rPr>
  </w:style>
  <w:style w:type="character" w:customStyle="1" w:styleId="EmailStyle3121">
    <w:name w:val="EmailStyle3121"/>
    <w:rPr>
      <w:rFonts w:ascii="Arial" w:eastAsia="Arial" w:hAnsi="Arial" w:cs="Arial"/>
      <w:color w:val="auto"/>
      <w:sz w:val="16"/>
    </w:rPr>
  </w:style>
  <w:style w:type="character" w:customStyle="1" w:styleId="EmailStyle3131">
    <w:name w:val="EmailStyle3131"/>
    <w:rPr>
      <w:rFonts w:ascii="Century Gothic" w:eastAsia="Century Gothic" w:hAnsi="Century Gothic" w:cs="Century Gothic"/>
      <w:color w:val="auto"/>
      <w:sz w:val="20"/>
    </w:rPr>
  </w:style>
  <w:style w:type="character" w:customStyle="1" w:styleId="EmailStyle3141">
    <w:name w:val="EmailStyle3141"/>
    <w:rPr>
      <w:rFonts w:ascii="Arial" w:eastAsia="Arial" w:hAnsi="Arial" w:cs="Arial"/>
      <w:color w:val="auto"/>
      <w:sz w:val="16"/>
    </w:rPr>
  </w:style>
  <w:style w:type="character" w:customStyle="1" w:styleId="EmailStyle3151">
    <w:name w:val="EmailStyle3151"/>
    <w:rPr>
      <w:rFonts w:ascii="Century Gothic" w:eastAsia="Century Gothic" w:hAnsi="Century Gothic" w:cs="Century Gothic"/>
      <w:color w:val="auto"/>
      <w:sz w:val="20"/>
    </w:rPr>
  </w:style>
  <w:style w:type="character" w:customStyle="1" w:styleId="EmailStyle3161">
    <w:name w:val="EmailStyle3161"/>
    <w:rPr>
      <w:rFonts w:ascii="Arial" w:eastAsia="Arial" w:hAnsi="Arial" w:cs="Arial"/>
      <w:color w:val="auto"/>
      <w:sz w:val="16"/>
    </w:rPr>
  </w:style>
  <w:style w:type="character" w:customStyle="1" w:styleId="EmailStyle3171">
    <w:name w:val="EmailStyle3171"/>
    <w:rPr>
      <w:rFonts w:ascii="Century Gothic" w:eastAsia="Century Gothic" w:hAnsi="Century Gothic" w:cs="Century Gothic"/>
      <w:color w:val="auto"/>
      <w:sz w:val="20"/>
    </w:rPr>
  </w:style>
  <w:style w:type="character" w:customStyle="1" w:styleId="EmailStyle3181">
    <w:name w:val="EmailStyle3181"/>
    <w:rPr>
      <w:rFonts w:ascii="Arial" w:eastAsia="Arial" w:hAnsi="Arial" w:cs="Arial"/>
      <w:color w:val="auto"/>
      <w:sz w:val="16"/>
    </w:rPr>
  </w:style>
  <w:style w:type="character" w:customStyle="1" w:styleId="EmailStyle3191">
    <w:name w:val="EmailStyle3191"/>
    <w:rPr>
      <w:rFonts w:ascii="Century Gothic" w:eastAsia="Century Gothic" w:hAnsi="Century Gothic" w:cs="Century Gothic"/>
      <w:color w:val="auto"/>
      <w:sz w:val="20"/>
    </w:rPr>
  </w:style>
  <w:style w:type="character" w:customStyle="1" w:styleId="EmailStyle3201">
    <w:name w:val="EmailStyle3201"/>
    <w:rPr>
      <w:rFonts w:ascii="Arial" w:eastAsia="Arial" w:hAnsi="Arial" w:cs="Arial"/>
      <w:color w:val="auto"/>
      <w:sz w:val="16"/>
    </w:rPr>
  </w:style>
  <w:style w:type="character" w:customStyle="1" w:styleId="EmailStyle3211">
    <w:name w:val="EmailStyle3211"/>
    <w:rPr>
      <w:rFonts w:ascii="Century Gothic" w:eastAsia="Century Gothic" w:hAnsi="Century Gothic" w:cs="Century Gothic"/>
      <w:color w:val="auto"/>
      <w:sz w:val="20"/>
    </w:rPr>
  </w:style>
  <w:style w:type="character" w:customStyle="1" w:styleId="EmailStyle3221">
    <w:name w:val="EmailStyle3221"/>
    <w:rPr>
      <w:rFonts w:ascii="Arial" w:eastAsia="Arial" w:hAnsi="Arial" w:cs="Arial"/>
      <w:color w:val="auto"/>
      <w:sz w:val="16"/>
    </w:rPr>
  </w:style>
  <w:style w:type="character" w:customStyle="1" w:styleId="EmailStyle3231">
    <w:name w:val="EmailStyle3231"/>
    <w:rPr>
      <w:rFonts w:ascii="Century Gothic" w:eastAsia="Century Gothic" w:hAnsi="Century Gothic" w:cs="Century Gothic"/>
      <w:color w:val="auto"/>
      <w:sz w:val="20"/>
    </w:rPr>
  </w:style>
  <w:style w:type="character" w:customStyle="1" w:styleId="EmailStyle3241">
    <w:name w:val="EmailStyle3241"/>
    <w:rPr>
      <w:rFonts w:ascii="Arial" w:eastAsia="Arial" w:hAnsi="Arial" w:cs="Arial"/>
      <w:color w:val="auto"/>
      <w:sz w:val="16"/>
    </w:rPr>
  </w:style>
  <w:style w:type="character" w:customStyle="1" w:styleId="EmailStyle3251">
    <w:name w:val="EmailStyle3251"/>
    <w:rPr>
      <w:rFonts w:ascii="Century Gothic" w:eastAsia="Century Gothic" w:hAnsi="Century Gothic" w:cs="Century Gothic"/>
      <w:color w:val="auto"/>
      <w:sz w:val="20"/>
    </w:rPr>
  </w:style>
  <w:style w:type="character" w:customStyle="1" w:styleId="EmailStyle3261">
    <w:name w:val="EmailStyle3261"/>
    <w:rPr>
      <w:rFonts w:ascii="Arial" w:eastAsia="Arial" w:hAnsi="Arial" w:cs="Arial"/>
      <w:color w:val="auto"/>
      <w:sz w:val="16"/>
    </w:rPr>
  </w:style>
  <w:style w:type="character" w:customStyle="1" w:styleId="EmailStyle3271">
    <w:name w:val="EmailStyle3271"/>
    <w:rPr>
      <w:rFonts w:ascii="Century Gothic" w:eastAsia="Century Gothic" w:hAnsi="Century Gothic" w:cs="Century Gothic"/>
      <w:color w:val="auto"/>
      <w:sz w:val="20"/>
    </w:rPr>
  </w:style>
  <w:style w:type="character" w:customStyle="1" w:styleId="EmailStyle3281">
    <w:name w:val="EmailStyle3281"/>
    <w:rPr>
      <w:rFonts w:ascii="Arial" w:eastAsia="Arial" w:hAnsi="Arial" w:cs="Arial"/>
      <w:color w:val="auto"/>
      <w:sz w:val="16"/>
    </w:rPr>
  </w:style>
  <w:style w:type="character" w:customStyle="1" w:styleId="EmailStyle3291">
    <w:name w:val="EmailStyle3291"/>
    <w:rPr>
      <w:rFonts w:ascii="Century Gothic" w:eastAsia="Century Gothic" w:hAnsi="Century Gothic" w:cs="Century Gothic"/>
      <w:color w:val="auto"/>
      <w:sz w:val="20"/>
    </w:rPr>
  </w:style>
  <w:style w:type="character" w:customStyle="1" w:styleId="EmailStyle3301">
    <w:name w:val="EmailStyle3301"/>
    <w:rPr>
      <w:rFonts w:ascii="Arial" w:eastAsia="Arial" w:hAnsi="Arial" w:cs="Arial"/>
      <w:color w:val="auto"/>
      <w:sz w:val="16"/>
    </w:rPr>
  </w:style>
  <w:style w:type="character" w:customStyle="1" w:styleId="EmailStyle3311">
    <w:name w:val="EmailStyle3311"/>
    <w:rPr>
      <w:rFonts w:ascii="Century Gothic" w:eastAsia="Century Gothic" w:hAnsi="Century Gothic" w:cs="Century Gothic"/>
      <w:color w:val="auto"/>
      <w:sz w:val="20"/>
    </w:rPr>
  </w:style>
  <w:style w:type="character" w:customStyle="1" w:styleId="EmailStyle3321">
    <w:name w:val="EmailStyle3321"/>
    <w:rPr>
      <w:rFonts w:ascii="Arial" w:eastAsia="Arial" w:hAnsi="Arial" w:cs="Arial"/>
      <w:color w:val="auto"/>
      <w:sz w:val="16"/>
    </w:rPr>
  </w:style>
  <w:style w:type="character" w:customStyle="1" w:styleId="EmailStyle3331">
    <w:name w:val="EmailStyle3331"/>
    <w:rPr>
      <w:rFonts w:ascii="Century Gothic" w:eastAsia="Century Gothic" w:hAnsi="Century Gothic" w:cs="Century Gothic"/>
      <w:color w:val="auto"/>
      <w:sz w:val="20"/>
    </w:rPr>
  </w:style>
  <w:style w:type="character" w:customStyle="1" w:styleId="EmailStyle3341">
    <w:name w:val="EmailStyle3341"/>
    <w:rPr>
      <w:rFonts w:ascii="Arial" w:eastAsia="Arial" w:hAnsi="Arial" w:cs="Arial"/>
      <w:color w:val="auto"/>
      <w:sz w:val="16"/>
    </w:rPr>
  </w:style>
  <w:style w:type="character" w:customStyle="1" w:styleId="EmailStyle3351">
    <w:name w:val="EmailStyle3351"/>
    <w:rPr>
      <w:rFonts w:ascii="Century Gothic" w:eastAsia="Century Gothic" w:hAnsi="Century Gothic" w:cs="Century Gothic"/>
      <w:color w:val="auto"/>
      <w:sz w:val="20"/>
    </w:rPr>
  </w:style>
  <w:style w:type="character" w:customStyle="1" w:styleId="EmailStyle3361">
    <w:name w:val="EmailStyle3361"/>
    <w:rPr>
      <w:rFonts w:ascii="Arial" w:eastAsia="Arial" w:hAnsi="Arial" w:cs="Arial"/>
      <w:color w:val="auto"/>
      <w:sz w:val="16"/>
    </w:rPr>
  </w:style>
  <w:style w:type="character" w:customStyle="1" w:styleId="EmailStyle3371">
    <w:name w:val="EmailStyle3371"/>
    <w:rPr>
      <w:rFonts w:ascii="Century Gothic" w:eastAsia="Century Gothic" w:hAnsi="Century Gothic" w:cs="Century Gothic"/>
      <w:color w:val="auto"/>
      <w:sz w:val="20"/>
    </w:rPr>
  </w:style>
  <w:style w:type="character" w:customStyle="1" w:styleId="EmailStyle3381">
    <w:name w:val="EmailStyle3381"/>
    <w:rPr>
      <w:rFonts w:ascii="Arial" w:eastAsia="Arial" w:hAnsi="Arial" w:cs="Arial"/>
      <w:color w:val="auto"/>
      <w:sz w:val="16"/>
    </w:rPr>
  </w:style>
  <w:style w:type="character" w:customStyle="1" w:styleId="EmailStyle3391">
    <w:name w:val="EmailStyle3391"/>
    <w:rPr>
      <w:rFonts w:ascii="Century Gothic" w:eastAsia="Century Gothic" w:hAnsi="Century Gothic" w:cs="Century Gothic"/>
      <w:color w:val="auto"/>
      <w:sz w:val="20"/>
    </w:rPr>
  </w:style>
  <w:style w:type="character" w:customStyle="1" w:styleId="EmailStyle3401">
    <w:name w:val="EmailStyle3401"/>
    <w:rPr>
      <w:rFonts w:ascii="Arial" w:eastAsia="Arial" w:hAnsi="Arial" w:cs="Arial"/>
      <w:color w:val="auto"/>
      <w:sz w:val="16"/>
    </w:rPr>
  </w:style>
  <w:style w:type="character" w:customStyle="1" w:styleId="EmailStyle3411">
    <w:name w:val="EmailStyle3411"/>
    <w:rPr>
      <w:rFonts w:ascii="Century Gothic" w:eastAsia="Century Gothic" w:hAnsi="Century Gothic" w:cs="Century Gothic"/>
      <w:color w:val="auto"/>
      <w:sz w:val="20"/>
    </w:rPr>
  </w:style>
  <w:style w:type="character" w:customStyle="1" w:styleId="EmailStyle3421">
    <w:name w:val="EmailStyle3421"/>
    <w:rPr>
      <w:rFonts w:ascii="Arial" w:eastAsia="Arial" w:hAnsi="Arial" w:cs="Arial"/>
      <w:color w:val="auto"/>
      <w:sz w:val="16"/>
    </w:rPr>
  </w:style>
  <w:style w:type="character" w:customStyle="1" w:styleId="EmailStyle3431">
    <w:name w:val="EmailStyle3431"/>
    <w:rPr>
      <w:rFonts w:ascii="Century Gothic" w:eastAsia="Century Gothic" w:hAnsi="Century Gothic" w:cs="Century Gothic"/>
      <w:color w:val="auto"/>
      <w:sz w:val="20"/>
    </w:rPr>
  </w:style>
  <w:style w:type="character" w:customStyle="1" w:styleId="EmailStyle3441">
    <w:name w:val="EmailStyle3441"/>
    <w:rPr>
      <w:rFonts w:ascii="Arial" w:eastAsia="Arial" w:hAnsi="Arial" w:cs="Arial"/>
      <w:color w:val="auto"/>
      <w:sz w:val="16"/>
    </w:rPr>
  </w:style>
  <w:style w:type="character" w:customStyle="1" w:styleId="EmailStyle3451">
    <w:name w:val="EmailStyle3451"/>
    <w:rPr>
      <w:rFonts w:ascii="Century Gothic" w:eastAsia="Century Gothic" w:hAnsi="Century Gothic" w:cs="Century Gothic"/>
      <w:color w:val="auto"/>
      <w:sz w:val="20"/>
    </w:rPr>
  </w:style>
  <w:style w:type="character" w:customStyle="1" w:styleId="EmailStyle3461">
    <w:name w:val="EmailStyle3461"/>
    <w:rPr>
      <w:rFonts w:ascii="Arial" w:eastAsia="Arial" w:hAnsi="Arial" w:cs="Arial"/>
      <w:color w:val="auto"/>
      <w:sz w:val="16"/>
    </w:rPr>
  </w:style>
  <w:style w:type="character" w:customStyle="1" w:styleId="EmailStyle3471">
    <w:name w:val="EmailStyle3471"/>
    <w:rPr>
      <w:rFonts w:ascii="Century Gothic" w:eastAsia="Century Gothic" w:hAnsi="Century Gothic" w:cs="Century Gothic"/>
      <w:color w:val="auto"/>
      <w:sz w:val="20"/>
    </w:rPr>
  </w:style>
  <w:style w:type="character" w:customStyle="1" w:styleId="EmailStyle3481">
    <w:name w:val="EmailStyle3481"/>
    <w:rPr>
      <w:rFonts w:ascii="Arial" w:eastAsia="Arial" w:hAnsi="Arial" w:cs="Arial"/>
      <w:color w:val="auto"/>
      <w:sz w:val="16"/>
    </w:rPr>
  </w:style>
  <w:style w:type="character" w:customStyle="1" w:styleId="EmailStyle3491">
    <w:name w:val="EmailStyle3491"/>
    <w:rPr>
      <w:rFonts w:ascii="Century Gothic" w:eastAsia="Century Gothic" w:hAnsi="Century Gothic" w:cs="Century Gothic"/>
      <w:color w:val="auto"/>
      <w:sz w:val="20"/>
    </w:rPr>
  </w:style>
  <w:style w:type="character" w:customStyle="1" w:styleId="EmailStyle3501">
    <w:name w:val="EmailStyle3501"/>
    <w:rPr>
      <w:rFonts w:ascii="Arial" w:eastAsia="Arial" w:hAnsi="Arial" w:cs="Arial"/>
      <w:color w:val="auto"/>
      <w:sz w:val="16"/>
    </w:rPr>
  </w:style>
  <w:style w:type="character" w:customStyle="1" w:styleId="EmailStyle351">
    <w:name w:val="EmailStyle351"/>
    <w:rPr>
      <w:rFonts w:ascii="Century Gothic" w:eastAsia="Century Gothic" w:hAnsi="Century Gothic" w:cs="Century Gothic"/>
      <w:color w:val="auto"/>
      <w:sz w:val="20"/>
    </w:rPr>
  </w:style>
  <w:style w:type="character" w:customStyle="1" w:styleId="EmailStyle352">
    <w:name w:val="EmailStyle352"/>
    <w:rPr>
      <w:rFonts w:ascii="Arial" w:eastAsia="Arial" w:hAnsi="Arial" w:cs="Arial"/>
      <w:color w:val="auto"/>
      <w:sz w:val="16"/>
    </w:rPr>
  </w:style>
  <w:style w:type="character" w:customStyle="1" w:styleId="EmailStyle353">
    <w:name w:val="EmailStyle353"/>
    <w:rPr>
      <w:rFonts w:ascii="Century Gothic" w:eastAsia="Century Gothic" w:hAnsi="Century Gothic" w:cs="Century Gothic"/>
      <w:color w:val="auto"/>
      <w:sz w:val="20"/>
    </w:rPr>
  </w:style>
  <w:style w:type="character" w:customStyle="1" w:styleId="EmailStyle354">
    <w:name w:val="EmailStyle354"/>
    <w:rPr>
      <w:rFonts w:ascii="Arial" w:eastAsia="Arial" w:hAnsi="Arial" w:cs="Arial"/>
      <w:color w:val="auto"/>
      <w:sz w:val="16"/>
    </w:rPr>
  </w:style>
  <w:style w:type="character" w:customStyle="1" w:styleId="EmailStyle355">
    <w:name w:val="EmailStyle355"/>
    <w:rPr>
      <w:rFonts w:ascii="Century Gothic" w:eastAsia="Century Gothic" w:hAnsi="Century Gothic" w:cs="Century Gothic"/>
      <w:color w:val="auto"/>
      <w:sz w:val="20"/>
    </w:rPr>
  </w:style>
  <w:style w:type="character" w:customStyle="1" w:styleId="EmailStyle356">
    <w:name w:val="EmailStyle356"/>
    <w:rPr>
      <w:rFonts w:ascii="Arial" w:eastAsia="Arial" w:hAnsi="Arial" w:cs="Arial"/>
      <w:color w:val="auto"/>
      <w:sz w:val="16"/>
    </w:rPr>
  </w:style>
  <w:style w:type="character" w:customStyle="1" w:styleId="EmailStyle357">
    <w:name w:val="EmailStyle357"/>
    <w:rPr>
      <w:rFonts w:ascii="Century Gothic" w:eastAsia="Century Gothic" w:hAnsi="Century Gothic" w:cs="Century Gothic"/>
      <w:color w:val="auto"/>
      <w:sz w:val="20"/>
    </w:rPr>
  </w:style>
  <w:style w:type="character" w:customStyle="1" w:styleId="EmailStyle358">
    <w:name w:val="EmailStyle358"/>
    <w:rPr>
      <w:rFonts w:ascii="Arial" w:eastAsia="Arial" w:hAnsi="Arial" w:cs="Arial"/>
      <w:color w:val="auto"/>
      <w:sz w:val="16"/>
    </w:rPr>
  </w:style>
  <w:style w:type="character" w:customStyle="1" w:styleId="EmailStyle359">
    <w:name w:val="EmailStyle359"/>
    <w:rPr>
      <w:rFonts w:ascii="Century Gothic" w:eastAsia="Century Gothic" w:hAnsi="Century Gothic" w:cs="Century Gothic"/>
      <w:color w:val="auto"/>
      <w:sz w:val="20"/>
    </w:rPr>
  </w:style>
  <w:style w:type="character" w:customStyle="1" w:styleId="EmailStyle360">
    <w:name w:val="EmailStyle360"/>
    <w:rPr>
      <w:rFonts w:ascii="Arial" w:eastAsia="Arial" w:hAnsi="Arial" w:cs="Arial"/>
      <w:color w:val="auto"/>
      <w:sz w:val="16"/>
    </w:rPr>
  </w:style>
  <w:style w:type="character" w:customStyle="1" w:styleId="EmailStyle361">
    <w:name w:val="EmailStyle361"/>
    <w:rPr>
      <w:rFonts w:ascii="Century Gothic" w:eastAsia="Century Gothic" w:hAnsi="Century Gothic" w:cs="Century Gothic"/>
      <w:color w:val="auto"/>
      <w:sz w:val="20"/>
    </w:rPr>
  </w:style>
  <w:style w:type="character" w:customStyle="1" w:styleId="EmailStyle362">
    <w:name w:val="EmailStyle362"/>
    <w:rPr>
      <w:rFonts w:ascii="Arial" w:eastAsia="Arial" w:hAnsi="Arial" w:cs="Arial"/>
      <w:color w:val="auto"/>
      <w:sz w:val="16"/>
    </w:rPr>
  </w:style>
  <w:style w:type="character" w:customStyle="1" w:styleId="EmailStyle363">
    <w:name w:val="EmailStyle363"/>
    <w:rPr>
      <w:rFonts w:ascii="Century Gothic" w:eastAsia="Century Gothic" w:hAnsi="Century Gothic" w:cs="Century Gothic"/>
      <w:color w:val="auto"/>
      <w:sz w:val="20"/>
    </w:rPr>
  </w:style>
  <w:style w:type="character" w:customStyle="1" w:styleId="EmailStyle364">
    <w:name w:val="EmailStyle364"/>
    <w:rPr>
      <w:rFonts w:ascii="Arial" w:eastAsia="Arial" w:hAnsi="Arial" w:cs="Arial"/>
      <w:color w:val="auto"/>
      <w:sz w:val="16"/>
    </w:rPr>
  </w:style>
  <w:style w:type="character" w:customStyle="1" w:styleId="EmailStyle365">
    <w:name w:val="EmailStyle365"/>
    <w:rPr>
      <w:rFonts w:ascii="Century Gothic" w:eastAsia="Century Gothic" w:hAnsi="Century Gothic" w:cs="Century Gothic"/>
      <w:color w:val="auto"/>
      <w:sz w:val="20"/>
    </w:rPr>
  </w:style>
  <w:style w:type="character" w:customStyle="1" w:styleId="EmailStyle366">
    <w:name w:val="EmailStyle366"/>
    <w:rPr>
      <w:rFonts w:ascii="Arial" w:eastAsia="Arial" w:hAnsi="Arial" w:cs="Arial"/>
      <w:color w:val="auto"/>
      <w:sz w:val="16"/>
    </w:rPr>
  </w:style>
  <w:style w:type="character" w:customStyle="1" w:styleId="EmailStyle367">
    <w:name w:val="EmailStyle367"/>
    <w:rPr>
      <w:rFonts w:ascii="Century Gothic" w:eastAsia="Century Gothic" w:hAnsi="Century Gothic" w:cs="Century Gothic"/>
      <w:color w:val="auto"/>
      <w:sz w:val="20"/>
    </w:rPr>
  </w:style>
  <w:style w:type="character" w:customStyle="1" w:styleId="EmailStyle368">
    <w:name w:val="EmailStyle368"/>
    <w:rPr>
      <w:rFonts w:ascii="Arial" w:eastAsia="Arial" w:hAnsi="Arial" w:cs="Arial"/>
      <w:color w:val="auto"/>
      <w:sz w:val="16"/>
    </w:rPr>
  </w:style>
  <w:style w:type="character" w:customStyle="1" w:styleId="EmailStyle369">
    <w:name w:val="EmailStyle369"/>
    <w:rPr>
      <w:rFonts w:ascii="Century Gothic" w:eastAsia="Century Gothic" w:hAnsi="Century Gothic" w:cs="Century Gothic"/>
      <w:color w:val="auto"/>
      <w:sz w:val="20"/>
    </w:rPr>
  </w:style>
  <w:style w:type="character" w:customStyle="1" w:styleId="EmailStyle370">
    <w:name w:val="EmailStyle370"/>
    <w:rPr>
      <w:rFonts w:ascii="Arial" w:eastAsia="Arial" w:hAnsi="Arial" w:cs="Arial"/>
      <w:color w:val="auto"/>
      <w:sz w:val="16"/>
    </w:rPr>
  </w:style>
  <w:style w:type="character" w:customStyle="1" w:styleId="EmailStyle371">
    <w:name w:val="EmailStyle371"/>
    <w:rPr>
      <w:rFonts w:ascii="Century Gothic" w:eastAsia="Century Gothic" w:hAnsi="Century Gothic" w:cs="Century Gothic"/>
      <w:color w:val="auto"/>
      <w:sz w:val="20"/>
    </w:rPr>
  </w:style>
  <w:style w:type="character" w:customStyle="1" w:styleId="EmailStyle372">
    <w:name w:val="EmailStyle372"/>
    <w:rPr>
      <w:rFonts w:ascii="Arial" w:eastAsia="Arial" w:hAnsi="Arial" w:cs="Arial"/>
      <w:color w:val="auto"/>
      <w:sz w:val="16"/>
    </w:rPr>
  </w:style>
  <w:style w:type="character" w:customStyle="1" w:styleId="EmailStyle373">
    <w:name w:val="EmailStyle373"/>
    <w:rPr>
      <w:rFonts w:ascii="Century Gothic" w:eastAsia="Century Gothic" w:hAnsi="Century Gothic" w:cs="Century Gothic"/>
      <w:color w:val="auto"/>
      <w:sz w:val="20"/>
    </w:rPr>
  </w:style>
  <w:style w:type="character" w:customStyle="1" w:styleId="EmailStyle374">
    <w:name w:val="EmailStyle374"/>
    <w:rPr>
      <w:rFonts w:ascii="Arial" w:eastAsia="Arial" w:hAnsi="Arial" w:cs="Arial"/>
      <w:color w:val="auto"/>
      <w:sz w:val="16"/>
    </w:rPr>
  </w:style>
  <w:style w:type="character" w:customStyle="1" w:styleId="EmailStyle375">
    <w:name w:val="EmailStyle375"/>
    <w:rPr>
      <w:rFonts w:ascii="Century Gothic" w:eastAsia="Century Gothic" w:hAnsi="Century Gothic" w:cs="Century Gothic"/>
      <w:color w:val="auto"/>
      <w:sz w:val="20"/>
    </w:rPr>
  </w:style>
  <w:style w:type="character" w:customStyle="1" w:styleId="EmailStyle376">
    <w:name w:val="EmailStyle376"/>
    <w:rPr>
      <w:rFonts w:ascii="Arial" w:eastAsia="Arial" w:hAnsi="Arial" w:cs="Arial"/>
      <w:color w:val="auto"/>
      <w:sz w:val="16"/>
    </w:rPr>
  </w:style>
  <w:style w:type="character" w:customStyle="1" w:styleId="EmailStyle377">
    <w:name w:val="EmailStyle377"/>
    <w:rPr>
      <w:rFonts w:ascii="Century Gothic" w:eastAsia="Century Gothic" w:hAnsi="Century Gothic" w:cs="Century Gothic"/>
      <w:color w:val="auto"/>
      <w:sz w:val="20"/>
    </w:rPr>
  </w:style>
  <w:style w:type="character" w:customStyle="1" w:styleId="EmailStyle378">
    <w:name w:val="EmailStyle378"/>
    <w:rPr>
      <w:rFonts w:ascii="Arial" w:eastAsia="Arial" w:hAnsi="Arial" w:cs="Arial"/>
      <w:color w:val="auto"/>
      <w:sz w:val="16"/>
    </w:rPr>
  </w:style>
  <w:style w:type="character" w:customStyle="1" w:styleId="EmailStyle379">
    <w:name w:val="EmailStyle379"/>
    <w:rPr>
      <w:rFonts w:ascii="Century Gothic" w:eastAsia="Century Gothic" w:hAnsi="Century Gothic" w:cs="Century Gothic"/>
      <w:color w:val="auto"/>
      <w:sz w:val="20"/>
    </w:rPr>
  </w:style>
  <w:style w:type="character" w:customStyle="1" w:styleId="EmailStyle380">
    <w:name w:val="EmailStyle380"/>
    <w:rPr>
      <w:rFonts w:ascii="Arial" w:eastAsia="Arial" w:hAnsi="Arial" w:cs="Arial"/>
      <w:color w:val="auto"/>
      <w:sz w:val="16"/>
    </w:rPr>
  </w:style>
  <w:style w:type="character" w:customStyle="1" w:styleId="EmailStyle381">
    <w:name w:val="EmailStyle381"/>
    <w:rPr>
      <w:rFonts w:ascii="Century Gothic" w:eastAsia="Century Gothic" w:hAnsi="Century Gothic" w:cs="Century Gothic"/>
      <w:color w:val="auto"/>
      <w:sz w:val="20"/>
    </w:rPr>
  </w:style>
  <w:style w:type="character" w:customStyle="1" w:styleId="EmailStyle382">
    <w:name w:val="EmailStyle382"/>
    <w:rPr>
      <w:rFonts w:ascii="Arial" w:eastAsia="Arial" w:hAnsi="Arial" w:cs="Arial"/>
      <w:color w:val="auto"/>
      <w:sz w:val="16"/>
    </w:rPr>
  </w:style>
  <w:style w:type="character" w:customStyle="1" w:styleId="EmailStyle383">
    <w:name w:val="EmailStyle383"/>
    <w:rPr>
      <w:rFonts w:ascii="Century Gothic" w:eastAsia="Century Gothic" w:hAnsi="Century Gothic" w:cs="Century Gothic"/>
      <w:color w:val="auto"/>
      <w:sz w:val="20"/>
    </w:rPr>
  </w:style>
  <w:style w:type="character" w:customStyle="1" w:styleId="EmailStyle384">
    <w:name w:val="EmailStyle384"/>
    <w:rPr>
      <w:rFonts w:ascii="Arial" w:eastAsia="Arial" w:hAnsi="Arial" w:cs="Arial"/>
      <w:color w:val="auto"/>
      <w:sz w:val="16"/>
    </w:rPr>
  </w:style>
  <w:style w:type="character" w:customStyle="1" w:styleId="EmailStyle385">
    <w:name w:val="EmailStyle385"/>
    <w:rPr>
      <w:rFonts w:ascii="Century Gothic" w:eastAsia="Century Gothic" w:hAnsi="Century Gothic" w:cs="Century Gothic"/>
      <w:color w:val="auto"/>
      <w:sz w:val="20"/>
    </w:rPr>
  </w:style>
  <w:style w:type="character" w:customStyle="1" w:styleId="EmailStyle386">
    <w:name w:val="EmailStyle386"/>
    <w:rPr>
      <w:rFonts w:ascii="Arial" w:eastAsia="Arial" w:hAnsi="Arial" w:cs="Arial"/>
      <w:color w:val="auto"/>
      <w:sz w:val="16"/>
    </w:rPr>
  </w:style>
  <w:style w:type="character" w:customStyle="1" w:styleId="EmailStyle387">
    <w:name w:val="EmailStyle387"/>
    <w:rPr>
      <w:rFonts w:ascii="Century Gothic" w:eastAsia="Century Gothic" w:hAnsi="Century Gothic" w:cs="Century Gothic"/>
      <w:color w:val="auto"/>
      <w:sz w:val="20"/>
    </w:rPr>
  </w:style>
  <w:style w:type="character" w:customStyle="1" w:styleId="EmailStyle388">
    <w:name w:val="EmailStyle388"/>
    <w:rPr>
      <w:rFonts w:ascii="Arial" w:eastAsia="Arial" w:hAnsi="Arial" w:cs="Arial"/>
      <w:color w:val="auto"/>
      <w:sz w:val="16"/>
    </w:rPr>
  </w:style>
  <w:style w:type="character" w:customStyle="1" w:styleId="EmailStyle389">
    <w:name w:val="EmailStyle389"/>
    <w:rPr>
      <w:rFonts w:ascii="Century Gothic" w:eastAsia="Century Gothic" w:hAnsi="Century Gothic" w:cs="Century Gothic"/>
      <w:color w:val="auto"/>
      <w:sz w:val="20"/>
    </w:rPr>
  </w:style>
  <w:style w:type="character" w:customStyle="1" w:styleId="EmailStyle390">
    <w:name w:val="EmailStyle390"/>
    <w:rPr>
      <w:rFonts w:ascii="Arial" w:eastAsia="Arial" w:hAnsi="Arial" w:cs="Arial"/>
      <w:color w:val="auto"/>
      <w:sz w:val="16"/>
    </w:rPr>
  </w:style>
  <w:style w:type="character" w:customStyle="1" w:styleId="EmailStyle391">
    <w:name w:val="EmailStyle391"/>
    <w:rPr>
      <w:rFonts w:ascii="Century Gothic" w:eastAsia="Century Gothic" w:hAnsi="Century Gothic" w:cs="Century Gothic"/>
      <w:color w:val="auto"/>
      <w:sz w:val="20"/>
    </w:rPr>
  </w:style>
  <w:style w:type="character" w:customStyle="1" w:styleId="EmailStyle392">
    <w:name w:val="EmailStyle392"/>
    <w:rPr>
      <w:rFonts w:ascii="Arial" w:eastAsia="Arial" w:hAnsi="Arial" w:cs="Arial"/>
      <w:color w:val="auto"/>
      <w:sz w:val="16"/>
    </w:rPr>
  </w:style>
  <w:style w:type="character" w:customStyle="1" w:styleId="EmailStyle393">
    <w:name w:val="EmailStyle393"/>
    <w:rPr>
      <w:rFonts w:ascii="Century Gothic" w:eastAsia="Century Gothic" w:hAnsi="Century Gothic" w:cs="Century Gothic"/>
      <w:color w:val="auto"/>
      <w:sz w:val="20"/>
    </w:rPr>
  </w:style>
  <w:style w:type="character" w:customStyle="1" w:styleId="EmailStyle394">
    <w:name w:val="EmailStyle394"/>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numbering" w:customStyle="1" w:styleId="List1">
    <w:name w:val="List 1"/>
    <w:basedOn w:val="Aucuneliste"/>
    <w:pPr>
      <w:numPr>
        <w:numId w:val="2"/>
      </w:numPr>
    </w:pPr>
  </w:style>
  <w:style w:type="numbering" w:customStyle="1" w:styleId="LFO1">
    <w:name w:val="LFO1"/>
    <w:basedOn w:val="Aucuneliste"/>
    <w:pPr>
      <w:numPr>
        <w:numId w:val="3"/>
      </w:numPr>
    </w:pPr>
  </w:style>
  <w:style w:type="numbering" w:customStyle="1" w:styleId="LFO4">
    <w:name w:val="LFO4"/>
    <w:basedOn w:val="Aucuneliste"/>
    <w:pPr>
      <w:numPr>
        <w:numId w:val="4"/>
      </w:numPr>
    </w:pPr>
  </w:style>
  <w:style w:type="numbering" w:customStyle="1" w:styleId="LFO5">
    <w:name w:val="LFO5"/>
    <w:basedOn w:val="Aucuneliste"/>
    <w:pPr>
      <w:numPr>
        <w:numId w:val="5"/>
      </w:numPr>
    </w:pPr>
  </w:style>
  <w:style w:type="numbering" w:customStyle="1" w:styleId="LFO18">
    <w:name w:val="LFO18"/>
    <w:basedOn w:val="Aucuneliste"/>
    <w:pPr>
      <w:numPr>
        <w:numId w:val="6"/>
      </w:numPr>
    </w:pPr>
  </w:style>
  <w:style w:type="numbering" w:customStyle="1" w:styleId="LFO20">
    <w:name w:val="LFO20"/>
    <w:basedOn w:val="Aucuneliste"/>
    <w:pPr>
      <w:numPr>
        <w:numId w:val="7"/>
      </w:numPr>
    </w:pPr>
  </w:style>
  <w:style w:type="numbering" w:customStyle="1" w:styleId="LFO21">
    <w:name w:val="LFO21"/>
    <w:basedOn w:val="Aucuneliste"/>
    <w:pPr>
      <w:numPr>
        <w:numId w:val="8"/>
      </w:numPr>
    </w:pPr>
  </w:style>
  <w:style w:type="numbering" w:customStyle="1" w:styleId="LFO22">
    <w:name w:val="LFO22"/>
    <w:basedOn w:val="Aucuneliste"/>
    <w:pPr>
      <w:numPr>
        <w:numId w:val="9"/>
      </w:numPr>
    </w:pPr>
  </w:style>
  <w:style w:type="numbering" w:customStyle="1" w:styleId="LFO23">
    <w:name w:val="LFO23"/>
    <w:basedOn w:val="Aucuneliste"/>
    <w:pPr>
      <w:numPr>
        <w:numId w:val="10"/>
      </w:numPr>
    </w:pPr>
  </w:style>
  <w:style w:type="numbering" w:customStyle="1" w:styleId="LFO24">
    <w:name w:val="LFO24"/>
    <w:basedOn w:val="Aucuneliste"/>
    <w:pPr>
      <w:numPr>
        <w:numId w:val="11"/>
      </w:numPr>
    </w:pPr>
  </w:style>
  <w:style w:type="numbering" w:customStyle="1" w:styleId="LFO28">
    <w:name w:val="LFO28"/>
    <w:basedOn w:val="Aucuneliste"/>
    <w:pPr>
      <w:numPr>
        <w:numId w:val="12"/>
      </w:numPr>
    </w:pPr>
  </w:style>
  <w:style w:type="numbering" w:customStyle="1" w:styleId="LFO29">
    <w:name w:val="LFO29"/>
    <w:basedOn w:val="Aucuneliste"/>
    <w:pPr>
      <w:numPr>
        <w:numId w:val="13"/>
      </w:numPr>
    </w:pPr>
  </w:style>
  <w:style w:type="numbering" w:customStyle="1" w:styleId="LFO25">
    <w:name w:val="LFO25"/>
    <w:basedOn w:val="Aucuneliste"/>
    <w:pPr>
      <w:numPr>
        <w:numId w:val="14"/>
      </w:numPr>
    </w:pPr>
  </w:style>
  <w:style w:type="numbering" w:customStyle="1" w:styleId="LFO26">
    <w:name w:val="LFO26"/>
    <w:basedOn w:val="Aucuneliste"/>
    <w:pPr>
      <w:numPr>
        <w:numId w:val="15"/>
      </w:numPr>
    </w:pPr>
  </w:style>
  <w:style w:type="numbering" w:customStyle="1" w:styleId="LFO33">
    <w:name w:val="LFO33"/>
    <w:basedOn w:val="Aucuneliste"/>
    <w:pPr>
      <w:numPr>
        <w:numId w:val="16"/>
      </w:numPr>
    </w:pPr>
  </w:style>
  <w:style w:type="numbering" w:customStyle="1" w:styleId="LFO35">
    <w:name w:val="LFO35"/>
    <w:basedOn w:val="Aucuneliste"/>
    <w:pPr>
      <w:numPr>
        <w:numId w:val="17"/>
      </w:numPr>
    </w:pPr>
  </w:style>
  <w:style w:type="table" w:styleId="Grilledutableau">
    <w:name w:val="Table Grid"/>
    <w:basedOn w:val="TableauNormal"/>
    <w:uiPriority w:val="39"/>
    <w:rsid w:val="00F5457E"/>
    <w:pPr>
      <w:autoSpaceDN/>
      <w:textAlignment w:val="auto"/>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daliaNormalCar">
    <w:name w:val="Redalia : Normal Car"/>
    <w:basedOn w:val="Policepardfaut"/>
    <w:link w:val="RedaliaNormal"/>
    <w:locked/>
    <w:rsid w:val="00F5457E"/>
    <w:rPr>
      <w:rFonts w:ascii="ITC Avant Garde Std Bk" w:eastAsia="ITC Avant Garde Std Bk" w:hAnsi="ITC Avant Garde Std Bk" w:cs="ITC Avant Garde Std Bk"/>
      <w:sz w:val="22"/>
    </w:rPr>
  </w:style>
  <w:style w:type="character" w:customStyle="1" w:styleId="ParagraphedelisteCar">
    <w:name w:val="Paragraphe de liste Car"/>
    <w:aliases w:val="Liste à puce niveau 1 Car,Paragraphe de liste (sdt) Car,Indent Paragraph Car,Lettre d'introduction Car,Paragraphe de liste PBLH Car,Bullet Points Car,Liste Paragraf Car,Llista Nivell1 Car,Lista de nivel 1 Car,Paragraph Car,l Car"/>
    <w:basedOn w:val="Policepardfaut"/>
    <w:link w:val="Paragraphedeliste"/>
    <w:uiPriority w:val="34"/>
    <w:qFormat/>
    <w:rsid w:val="001B04DE"/>
    <w:rPr>
      <w:rFonts w:ascii="ITC Avant Garde Std Bk" w:eastAsia="ITC Avant Garde Std Bk" w:hAnsi="ITC Avant Garde Std Bk" w:cs="ITC Avant Garde Std Bk"/>
      <w:sz w:val="22"/>
    </w:rPr>
  </w:style>
  <w:style w:type="paragraph" w:styleId="Objetducommentaire">
    <w:name w:val="annotation subject"/>
    <w:basedOn w:val="Commentaire"/>
    <w:next w:val="Commentaire"/>
    <w:link w:val="ObjetducommentaireCar"/>
    <w:uiPriority w:val="99"/>
    <w:semiHidden/>
    <w:unhideWhenUsed/>
    <w:rsid w:val="00F60341"/>
    <w:rPr>
      <w:b/>
      <w:bCs/>
      <w:sz w:val="20"/>
    </w:rPr>
  </w:style>
  <w:style w:type="character" w:customStyle="1" w:styleId="CommentaireCar1">
    <w:name w:val="Commentaire Car1"/>
    <w:basedOn w:val="Policepardfaut"/>
    <w:link w:val="Commentaire"/>
    <w:rsid w:val="00F60341"/>
    <w:rPr>
      <w:rFonts w:ascii="ITC Avant Garde Std Bk" w:eastAsia="ITC Avant Garde Std Bk" w:hAnsi="ITC Avant Garde Std Bk" w:cs="ITC Avant Garde Std Bk"/>
      <w:sz w:val="22"/>
    </w:rPr>
  </w:style>
  <w:style w:type="character" w:customStyle="1" w:styleId="ObjetducommentaireCar">
    <w:name w:val="Objet du commentaire Car"/>
    <w:basedOn w:val="CommentaireCar1"/>
    <w:link w:val="Objetducommentaire"/>
    <w:uiPriority w:val="99"/>
    <w:semiHidden/>
    <w:rsid w:val="00F60341"/>
    <w:rPr>
      <w:rFonts w:ascii="ITC Avant Garde Std Bk" w:eastAsia="ITC Avant Garde Std Bk" w:hAnsi="ITC Avant Garde Std Bk" w:cs="ITC Avant Garde Std Bk"/>
      <w:b/>
      <w:bCs/>
      <w:sz w:val="22"/>
    </w:rPr>
  </w:style>
  <w:style w:type="paragraph" w:customStyle="1" w:styleId="RdaliaRetraitPuceniveau2">
    <w:name w:val="Rédalia : Retrait Puce niveau 2"/>
    <w:basedOn w:val="RedaliaNormal"/>
    <w:rsid w:val="002F48B1"/>
    <w:pPr>
      <w:numPr>
        <w:numId w:val="33"/>
      </w:numPr>
      <w:tabs>
        <w:tab w:val="clear" w:pos="8505"/>
        <w:tab w:val="left" w:pos="0"/>
      </w:tabs>
    </w:pPr>
  </w:style>
  <w:style w:type="numbering" w:customStyle="1" w:styleId="LFO8">
    <w:name w:val="LFO8"/>
    <w:basedOn w:val="Aucuneliste"/>
    <w:rsid w:val="002F48B1"/>
    <w:pPr>
      <w:numPr>
        <w:numId w:val="33"/>
      </w:numPr>
    </w:pPr>
  </w:style>
  <w:style w:type="paragraph" w:styleId="Rvision">
    <w:name w:val="Revision"/>
    <w:hidden/>
    <w:uiPriority w:val="99"/>
    <w:semiHidden/>
    <w:rsid w:val="00923026"/>
    <w:pPr>
      <w:autoSpaceDN/>
      <w:textAlignment w:val="auto"/>
    </w:pPr>
    <w:rPr>
      <w:rFonts w:ascii="ITC Avant Garde Std Bk" w:eastAsia="ITC Avant Garde Std Bk" w:hAnsi="ITC Avant Garde Std Bk" w:cs="ITC Avant Garde Std Bk"/>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8304782">
      <w:bodyDiv w:val="1"/>
      <w:marLeft w:val="0"/>
      <w:marRight w:val="0"/>
      <w:marTop w:val="0"/>
      <w:marBottom w:val="0"/>
      <w:divBdr>
        <w:top w:val="none" w:sz="0" w:space="0" w:color="auto"/>
        <w:left w:val="none" w:sz="0" w:space="0" w:color="auto"/>
        <w:bottom w:val="none" w:sz="0" w:space="0" w:color="auto"/>
        <w:right w:val="none" w:sz="0" w:space="0" w:color="auto"/>
      </w:divBdr>
    </w:div>
    <w:div w:id="17975289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marches-publics.gouv.f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ume.chorus-pro.gouv.f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tools/espd/"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ebgate.ec.europa.eu/tl-browse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F128AB-3312-4D2F-8FDD-06A04DB51E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19</Pages>
  <Words>6487</Words>
  <Characters>35682</Characters>
  <Application>Microsoft Office Word</Application>
  <DocSecurity>0</DocSecurity>
  <Lines>297</Lines>
  <Paragraphs>84</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AFD</Company>
  <LinksUpToDate>false</LinksUpToDate>
  <CharactersWithSpaces>42085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jet</dc:creator>
  <dc:description/>
  <cp:lastModifiedBy>MOTTA Patricia</cp:lastModifiedBy>
  <cp:revision>3</cp:revision>
  <dcterms:created xsi:type="dcterms:W3CDTF">2025-07-30T15:36:00Z</dcterms:created>
  <dcterms:modified xsi:type="dcterms:W3CDTF">2025-07-30T15:45:00Z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
  </property>
  <property fmtid="{D5CDD505-2E9C-101B-9397-08002B2CF9AE}" pid="5" name="ElementContenant">
    <vt:lpwstr>MarchesSepares</vt:lpwstr>
  </property>
  <property fmtid="{D5CDD505-2E9C-101B-9397-08002B2CF9AE}" pid="6" name="ElementPrecedent">
    <vt:lpwstr>PasPI3</vt:lpwstr>
  </property>
  <property fmtid="{D5CDD505-2E9C-101B-9397-08002B2CF9AE}" pid="7" name="IdentifiantEdition">
    <vt:lpwstr>AC_RC_COM</vt:lpwstr>
  </property>
  <property fmtid="{D5CDD505-2E9C-101B-9397-08002B2CF9AE}" pid="8" name="NomSegment">
    <vt:lpwstr>AvecReconduction</vt:lpwstr>
  </property>
  <property fmtid="{D5CDD505-2E9C-101B-9397-08002B2CF9AE}" pid="9" name="NouveauElement">
    <vt:lpwstr>PI3</vt:lpwstr>
  </property>
  <property fmtid="{D5CDD505-2E9C-101B-9397-08002B2CF9AE}" pid="10" name="ResultatCommande">
    <vt:lpwstr>Ok</vt:lpwstr>
  </property>
</Properties>
</file>